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AUDIT TEMPLATE · TRUST-BUT-VERIFY DISCIPLINE</w:t>
      </w:r>
    </w:p>
    <w:p>
      <w:pPr>
        <w:spacing w:before="0" w:after="40"/>
      </w:pPr>
      <w:r>
        <w:rPr>
          <w:rFonts w:ascii="Calibri" w:hAnsi="Calibri"/>
          <w:b/>
          <w:color w:val="0B1F3A"/>
          <w:sz w:val="56"/>
        </w:rPr>
        <w:t>Sprint Demo</w:t>
      </w:r>
    </w:p>
    <w:p>
      <w:pPr>
        <w:spacing w:before="0" w:after="40"/>
      </w:pPr>
      <w:r>
        <w:rPr>
          <w:rFonts w:ascii="Calibri" w:hAnsi="Calibri"/>
          <w:b/>
          <w:color w:val="0B1F3A"/>
          <w:sz w:val="56"/>
        </w:rPr>
        <w:t>Discipline Audit</w:t>
      </w:r>
    </w:p>
    <w:p>
      <w:pPr>
        <w:spacing w:before="120" w:after="400"/>
      </w:pPr>
      <w:r>
        <w:rPr>
          <w:rFonts w:ascii="Calibri" w:hAnsi="Calibri"/>
          <w:i/>
          <w:color w:val="0D9488"/>
          <w:sz w:val="24"/>
        </w:rPr>
        <w:t>Completed by Solution Architect within 24 hours of every sprint demo — findings feed INT-TBV-02</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Solution Architect (completes) · Engagement Manager (reviews within 48 hrs) · Practice Lead (monthly roll-up)</w:t>
      </w:r>
    </w:p>
    <w:p>
      <w:pPr>
        <w:spacing w:after="40"/>
      </w:pPr>
      <w:r>
        <w:rPr>
          <w:rFonts w:ascii="Calibri" w:hAnsi="Calibri"/>
          <w:b w:val="0"/>
          <w:i w:val="0"/>
          <w:color w:val="475569"/>
          <w:sz w:val="20"/>
        </w:rPr>
        <w:t>Companion to: INT-TBV-01 (Manager Playbook) · INT-TBV-02 (Health Dashboard) · INT-TBV-09 (Coaching Templates)</w:t>
      </w:r>
    </w:p>
    <w:p>
      <w:pPr>
        <w:spacing w:after="80"/>
      </w:pPr>
      <w:r>
        <w:rPr>
          <w:rFonts w:ascii="Calibri" w:hAnsi="Calibri"/>
          <w:b w:val="0"/>
          <w:i w:val="0"/>
          <w:color w:val="475569"/>
          <w:sz w:val="20"/>
        </w:rPr>
        <w:t>Document ID: INT-TBV-06     ·     Version: 1.0     ·     Status: Released</w:t>
      </w:r>
    </w:p>
    <w:p>
      <w:pPr>
        <w:spacing w:after="280"/>
      </w:pPr>
      <w:r>
        <w:rPr>
          <w:rFonts w:ascii="Calibri" w:hAnsi="Calibri"/>
          <w:b w:val="0"/>
          <w:i/>
          <w:color w:val="475569"/>
          <w:sz w:val="20"/>
        </w:rPr>
        <w:t>Internal Use Only · Confidential</w:t>
      </w:r>
    </w:p>
    <w:p>
      <w:pPr>
        <w:spacing w:after="160" w:before="0"/>
      </w:pPr>
      <w:r>
        <w:rPr>
          <w:rFonts w:ascii="Calibri" w:hAnsi="Calibri"/>
          <w:color w:val="1A1A1A"/>
          <w:sz w:val="22"/>
        </w:rPr>
        <w:t>The sprint demo is where stated discipline meets actual configuration. A team that has been silently drifting cannot hide it during the demo — the configured artifacts speak for themselves. This audit converts what the demo revealed into management action within 24 hours.</w:t>
      </w:r>
    </w:p>
    <w:p>
      <w:pPr>
        <w:pStyle w:val="Heading1"/>
      </w:pPr>
      <w:r>
        <w:t>How to Use This Audit</w:t>
      </w:r>
    </w:p>
    <w:p>
      <w:pPr>
        <w:spacing w:after="160" w:before="0"/>
      </w:pPr>
      <w:r>
        <w:rPr>
          <w:rFonts w:ascii="Calibri" w:hAnsi="Calibri"/>
          <w:color w:val="1A1A1A"/>
          <w:sz w:val="22"/>
        </w:rPr>
        <w:t>Complete one audit per sprint demo. The Solution Architect scores all six items within 24 hours of the demo. The Engagement Manager reviews the completed audit and initiates coaching conversations (INT-TBV-09) for any item scored below Green within 48 hours. Audit findings that are not coaching opportunities are wasted findings. Store the completed audit in the engagement's SharePoint folder alongside the sprint demo recording or slide deck.</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Audit findings are operational, not punitive. Drift is a discipline gap, not a performance failure. The language used in coaching debrief matters: 'Here is what we observed and here is what we will do differently next sprint' — not 'here is what you did wrong.'</w:t>
      </w:r>
    </w:p>
    <w:p>
      <w:r>
        <w:br w:type="page"/>
      </w:r>
    </w:p>
    <w:p>
      <w:pPr>
        <w:pStyle w:val="Heading1"/>
      </w:pPr>
      <w:r>
        <w:t>Audit Header</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86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Value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Name</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[Enter engagement name]</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[e.g., Sprint 3]</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Demo Date</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[Date]</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Audit Completed By</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[Solution Architect name]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Audit Date</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[Date — must be within 24 hrs of demo]</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 Review Date</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[Date — must be within 48 hrs of audit completion]</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Modules Demonstrated</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[List all ServiceNow modules shown in the demo]</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Attendees</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[Roles attending — Sponsor, SMEs, etc.]</w:t>
            </w:r>
          </w:p>
        </w:tc>
      </w:tr>
    </w:tbl>
    <w:p>
      <w:pPr>
        <w:spacing w:after="40"/>
      </w:pPr>
    </w:p>
    <w:p>
      <w:r>
        <w:br w:type="page"/>
      </w:r>
    </w:p>
    <w:p>
      <w:pPr>
        <w:pStyle w:val="Heading1"/>
      </w:pPr>
      <w:r>
        <w:t>1.  Part A — Configuration Audit Items (3 items)</w:t>
      </w:r>
    </w:p>
    <w:p>
      <w:pPr>
        <w:spacing w:after="160" w:before="0"/>
      </w:pPr>
      <w:r>
        <w:rPr>
          <w:rFonts w:ascii="Calibri" w:hAnsi="Calibri"/>
          <w:color w:val="1A1A1A"/>
          <w:sz w:val="22"/>
        </w:rPr>
        <w:t>Score each item based on what was demonstrated. Evidence is required for any Yellow or Red score. 'Evidence' means a specific configuration object, screenshot reference, or demo timestamp — not a general impression.</w:t>
      </w:r>
    </w:p>
    <w:p>
      <w:pPr>
        <w:pStyle w:val="Heading2"/>
      </w:pPr>
      <w:r>
        <w:t>C-1: Process routing — OOTB tables and states</w:t>
      </w:r>
    </w:p>
    <w:p>
      <w:pPr>
        <w:spacing w:after="160" w:before="0"/>
      </w:pPr>
      <w:r>
        <w:rPr>
          <w:rFonts w:ascii="Calibri" w:hAnsi="Calibri"/>
          <w:color w:val="1A1A1A"/>
          <w:sz w:val="22"/>
        </w:rPr>
        <w:t>Were the demonstrated processes (Incident, Change, Request, etc.) routing through OOTB tables (incident, change_request, sc_req_item, etc.) and OOTB states without custom routing logic?</w:t>
      </w:r>
    </w:p>
    <w:tbl>
      <w:tblPr>
        <w:tblW w:type="auto" w:w="0"/>
        <w:jc w:val="left"/>
        <w:tblLook w:firstColumn="1" w:firstRow="1" w:lastColumn="0" w:lastRow="0" w:noHBand="0" w:noVBand="1" w:val="04A0"/>
      </w:tblPr>
      <w:tblGrid>
        <w:gridCol w:w="4680"/>
        <w:gridCol w:w="468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Score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Criteria</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 ✓</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demonstrated processes use OOTB tables and states. No custom routing observed.</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Yellow ⚠</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At least one custom UI policy or client script observed in the demonstrated flow.</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Red ✗</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 table, custom workflow, or custom routing engine observed.</w:t>
            </w:r>
          </w:p>
        </w:tc>
      </w:tr>
    </w:tbl>
    <w:p>
      <w:pPr>
        <w:spacing w:after="40"/>
      </w:pPr>
    </w:p>
    <w:p>
      <w:pPr>
        <w:spacing w:after="40" w:before="0"/>
      </w:pPr>
      <w:r>
        <w:rPr>
          <w:rFonts w:ascii="Calibri" w:hAnsi="Calibri"/>
          <w:b/>
          <w:color w:val="1A1A1A"/>
          <w:sz w:val="22"/>
        </w:rPr>
        <w:t>Score: [Green / Yellow / Red]</w:t>
      </w:r>
    </w:p>
    <w:p>
      <w:pPr>
        <w:spacing w:after="160" w:before="0"/>
      </w:pPr>
      <w:r>
        <w:rPr>
          <w:rFonts w:ascii="Calibri" w:hAnsi="Calibri"/>
          <w:color w:val="1A1A1A"/>
          <w:sz w:val="22"/>
        </w:rPr>
        <w:t>Evidence (required if Yellow or Red): [Describe specifically what was observed]</w:t>
      </w:r>
    </w:p>
    <w:p>
      <w:pPr>
        <w:spacing w:after="160" w:before="0"/>
      </w:pPr>
      <w:r>
        <w:rPr>
          <w:rFonts w:ascii="Calibri" w:hAnsi="Calibri"/>
          <w:color w:val="1A1A1A"/>
          <w:sz w:val="22"/>
        </w:rPr>
        <w:t>Management action required: [None / Coaching debrief / Variance Tracker update / Course-correction]</w:t>
      </w:r>
    </w:p>
    <w:p>
      <w:pPr>
        <w:pStyle w:val="Heading2"/>
      </w:pPr>
      <w:r>
        <w:t>C-2: Configuration hygiene — catalog, categories, rules, SLAs</w:t>
      </w:r>
    </w:p>
    <w:p>
      <w:pPr>
        <w:spacing w:after="160" w:before="0"/>
      </w:pPr>
      <w:r>
        <w:rPr>
          <w:rFonts w:ascii="Calibri" w:hAnsi="Calibri"/>
          <w:color w:val="1A1A1A"/>
          <w:sz w:val="22"/>
        </w:rPr>
        <w:t>Were the demonstrated catalog items, category structures, assignment rules, and SLA configurations within OOTB-defensible counts and patterns per the Config Hygiene tab of INT-TBV-02?</w:t>
      </w:r>
    </w:p>
    <w:tbl>
      <w:tblPr>
        <w:tblW w:type="auto" w:w="0"/>
        <w:jc w:val="left"/>
        <w:tblLook w:firstColumn="1" w:firstRow="1" w:lastColumn="0" w:lastRow="0" w:noHBand="0" w:noVBand="1" w:val="04A0"/>
      </w:tblPr>
      <w:tblGrid>
        <w:gridCol w:w="4680"/>
        <w:gridCol w:w="468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Score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Criteria</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 ✓</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demonstrated configuration objects are within reference counts and patterns.</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Yellow ⚠</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One or more object classes are at the Yellow threshold for this sprint stage.</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Red ✗</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One or more object classes are at the Red threshold or no rationalization plan exists.</w:t>
            </w:r>
          </w:p>
        </w:tc>
      </w:tr>
    </w:tbl>
    <w:p>
      <w:pPr>
        <w:spacing w:after="40"/>
      </w:pPr>
    </w:p>
    <w:p>
      <w:pPr>
        <w:spacing w:after="40" w:before="0"/>
      </w:pPr>
      <w:r>
        <w:rPr>
          <w:rFonts w:ascii="Calibri" w:hAnsi="Calibri"/>
          <w:b/>
          <w:color w:val="1A1A1A"/>
          <w:sz w:val="22"/>
        </w:rPr>
        <w:t>Score: [Green / Yellow / Red]</w:t>
      </w:r>
    </w:p>
    <w:p>
      <w:pPr>
        <w:spacing w:after="160" w:before="0"/>
      </w:pPr>
      <w:r>
        <w:rPr>
          <w:rFonts w:ascii="Calibri" w:hAnsi="Calibri"/>
          <w:color w:val="1A1A1A"/>
          <w:sz w:val="22"/>
        </w:rPr>
        <w:t>Evidence (required if Yellow or Red): [Name the specific metric and the count observed vs. threshold]</w:t>
      </w:r>
    </w:p>
    <w:p>
      <w:pPr>
        <w:spacing w:after="160" w:before="0"/>
      </w:pPr>
      <w:r>
        <w:rPr>
          <w:rFonts w:ascii="Calibri" w:hAnsi="Calibri"/>
          <w:color w:val="1A1A1A"/>
          <w:sz w:val="22"/>
        </w:rPr>
        <w:t>Management action required: [None / Coaching debrief / Variance Tracker update / Course-correction]</w:t>
      </w:r>
    </w:p>
    <w:p>
      <w:pPr>
        <w:pStyle w:val="Heading2"/>
      </w:pPr>
      <w:r>
        <w:t>C-3: Customization compliance — approved vs. unannounced builds</w:t>
      </w:r>
    </w:p>
    <w:p>
      <w:pPr>
        <w:spacing w:after="160" w:before="0"/>
      </w:pPr>
      <w:r>
        <w:rPr>
          <w:rFonts w:ascii="Calibri" w:hAnsi="Calibri"/>
          <w:color w:val="1A1A1A"/>
          <w:sz w:val="22"/>
        </w:rPr>
        <w:t>Did everything demonstrated either (a) represent OOTB configuration, or (b) represent a Council-approved customization that is logged in INT-TBV-03? Were there any artifacts demonstrated that appear to be customizations but are not in the Variance Tracker?</w:t>
      </w:r>
    </w:p>
    <w:tbl>
      <w:tblPr>
        <w:tblW w:type="auto" w:w="0"/>
        <w:jc w:val="left"/>
        <w:tblLook w:firstColumn="1" w:firstRow="1" w:lastColumn="0" w:lastRow="0" w:noHBand="0" w:noVBand="1" w:val="04A0"/>
      </w:tblPr>
      <w:tblGrid>
        <w:gridCol w:w="4680"/>
        <w:gridCol w:w="468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Score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Criteria</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 ✓</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demonstrated artifacts are either OOTB or Council-approved and logged.</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Yellow ⚠</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One artifact appears to be a customization not yet in the deviation lifecycle (may be an oversight — verify).</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Red ✗</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One or more customizations were demonstrated that are not in INT-TBV-03 and were not surfaced to the EM.</w:t>
            </w:r>
          </w:p>
        </w:tc>
      </w:tr>
    </w:tbl>
    <w:p>
      <w:pPr>
        <w:spacing w:after="40"/>
      </w:pPr>
    </w:p>
    <w:p>
      <w:pPr>
        <w:spacing w:after="40" w:before="0"/>
      </w:pPr>
      <w:r>
        <w:rPr>
          <w:rFonts w:ascii="Calibri" w:hAnsi="Calibri"/>
          <w:b/>
          <w:color w:val="1A1A1A"/>
          <w:sz w:val="22"/>
        </w:rPr>
        <w:t>Score: [Green / Yellow / Red]</w:t>
      </w:r>
    </w:p>
    <w:p>
      <w:pPr>
        <w:spacing w:after="160" w:before="0"/>
      </w:pPr>
      <w:r>
        <w:rPr>
          <w:rFonts w:ascii="Calibri" w:hAnsi="Calibri"/>
          <w:color w:val="1A1A1A"/>
          <w:sz w:val="22"/>
        </w:rPr>
        <w:t>Evidence (required if Yellow or Red): [Name the artifact and the gap]</w:t>
      </w:r>
    </w:p>
    <w:p>
      <w:pPr>
        <w:spacing w:after="160" w:before="0"/>
      </w:pPr>
      <w:r>
        <w:rPr>
          <w:rFonts w:ascii="Calibri" w:hAnsi="Calibri"/>
          <w:color w:val="1A1A1A"/>
          <w:sz w:val="22"/>
        </w:rPr>
        <w:t>Management action required: [None / Log in INT-TBV-03 immediately / Red band trigger — invoke INT-TBV-08]</w:t>
      </w:r>
    </w:p>
    <w:p>
      <w:r>
        <w:br w:type="page"/>
      </w:r>
    </w:p>
    <w:p>
      <w:pPr>
        <w:pStyle w:val="Heading1"/>
      </w:pPr>
      <w:r>
        <w:t>2.  Part B — Language and Discipline Audit Items (3 items)</w:t>
      </w:r>
    </w:p>
    <w:p>
      <w:pPr>
        <w:spacing w:after="160" w:before="0"/>
      </w:pPr>
      <w:r>
        <w:rPr>
          <w:rFonts w:ascii="Calibri" w:hAnsi="Calibri"/>
          <w:color w:val="1A1A1A"/>
          <w:sz w:val="22"/>
        </w:rPr>
        <w:t>Score each item based on what was said during the demo, not what was built. Language is a leading indicator of discipline posture. The 'we just' minimization pattern and the 'absorb the ask' pattern are often observable in demo language before they show up in the configuration.</w:t>
      </w:r>
    </w:p>
    <w:p>
      <w:pPr>
        <w:pStyle w:val="Heading2"/>
      </w:pPr>
      <w:r>
        <w:t>L-1: OOTB defense when challenged</w:t>
      </w:r>
    </w:p>
    <w:p>
      <w:pPr>
        <w:spacing w:after="160" w:before="0"/>
      </w:pPr>
      <w:r>
        <w:rPr>
          <w:rFonts w:ascii="Calibri" w:hAnsi="Calibri"/>
          <w:color w:val="1A1A1A"/>
          <w:sz w:val="22"/>
        </w:rPr>
        <w:t>When a customer asked a question or raised a concern about an OOTB configuration ('Why can't we have a custom field here?' 'Our old system had this differently'), did the consultant deploy the OOTB defense — named the business outcome, described the OOTB path, and routed any deviation request through the Council lifecycle?</w:t>
      </w:r>
    </w:p>
    <w:tbl>
      <w:tblPr>
        <w:tblW w:type="auto" w:w="0"/>
        <w:jc w:val="left"/>
        <w:tblLook w:firstColumn="1" w:firstRow="1" w:lastColumn="0" w:lastRow="0" w:noHBand="0" w:noVBand="1" w:val="04A0"/>
      </w:tblPr>
      <w:tblGrid>
        <w:gridCol w:w="4680"/>
        <w:gridCol w:w="468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Score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Criteria</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 ✓</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 named the business outcome and described the OOTB path when challenged. Any customization request was immediately routed ('Let me get that into the Council process').</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Yellow ⚠</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Consultant acknowledged the concern but did not fully deploy the OOTB defense. No explicit routing to the Council.</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Red ✗</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 verbally agreed to a customization in the demo without routing to the Council. Or consultant said 'we can probably do that' without the two-key framework.</w:t>
            </w:r>
          </w:p>
        </w:tc>
      </w:tr>
    </w:tbl>
    <w:p>
      <w:pPr>
        <w:spacing w:after="40"/>
      </w:pPr>
    </w:p>
    <w:p>
      <w:pPr>
        <w:spacing w:after="40" w:before="0"/>
      </w:pPr>
      <w:r>
        <w:rPr>
          <w:rFonts w:ascii="Calibri" w:hAnsi="Calibri"/>
          <w:b/>
          <w:color w:val="1A1A1A"/>
          <w:sz w:val="22"/>
        </w:rPr>
        <w:t>Score: [Green / Yellow / Red]</w:t>
      </w:r>
    </w:p>
    <w:p>
      <w:pPr>
        <w:spacing w:after="160" w:before="0"/>
      </w:pPr>
      <w:r>
        <w:rPr>
          <w:rFonts w:ascii="Calibri" w:hAnsi="Calibri"/>
          <w:color w:val="1A1A1A"/>
          <w:sz w:val="22"/>
        </w:rPr>
        <w:t>Specific exchange observed (quote or paraphrase): [Enter here]</w:t>
      </w:r>
    </w:p>
    <w:p>
      <w:pPr>
        <w:spacing w:after="160" w:before="0"/>
      </w:pPr>
      <w:r>
        <w:rPr>
          <w:rFonts w:ascii="Calibri" w:hAnsi="Calibri"/>
          <w:color w:val="1A1A1A"/>
          <w:sz w:val="22"/>
        </w:rPr>
        <w:t>Management action required: [None / Coaching debrief (INT-TBV-09 Pattern A or B) / Variance Tracker update]</w:t>
      </w:r>
    </w:p>
    <w:p>
      <w:pPr>
        <w:pStyle w:val="Heading2"/>
      </w:pPr>
      <w:r>
        <w:t>L-2: Deviation lifecycle framing</w:t>
      </w:r>
    </w:p>
    <w:p>
      <w:pPr>
        <w:spacing w:after="160" w:before="0"/>
      </w:pPr>
      <w:r>
        <w:rPr>
          <w:rFonts w:ascii="Calibri" w:hAnsi="Calibri"/>
          <w:color w:val="1A1A1A"/>
          <w:sz w:val="22"/>
        </w:rPr>
        <w:t>When a customization request or deviation was raised (by the customer or by the consultant), was it explicitly framed through the deviation lifecycle — raised, analyzed, Council-staged — rather than handled ad hoc in the meeting?</w:t>
      </w:r>
    </w:p>
    <w:tbl>
      <w:tblPr>
        <w:tblW w:type="auto" w:w="0"/>
        <w:jc w:val="left"/>
        <w:tblLook w:firstColumn="1" w:firstRow="1" w:lastColumn="0" w:lastRow="0" w:noHBand="0" w:noVBand="1" w:val="04A0"/>
      </w:tblPr>
      <w:tblGrid>
        <w:gridCol w:w="4680"/>
        <w:gridCol w:w="468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Score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Criteria</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 ✓</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deviations raised in the demo were immediately framed as Council items with a named next step.</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Yellow ⚠</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Deviation raised but routing was vague ('we'll look at that') without naming the Council process.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Red ✗</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Deviation absorbed verbally or ignored — not routed to the Council lifecycle.</w:t>
            </w:r>
          </w:p>
        </w:tc>
      </w:tr>
    </w:tbl>
    <w:p>
      <w:pPr>
        <w:spacing w:after="40"/>
      </w:pPr>
    </w:p>
    <w:p>
      <w:pPr>
        <w:spacing w:after="40" w:before="0"/>
      </w:pPr>
      <w:r>
        <w:rPr>
          <w:rFonts w:ascii="Calibri" w:hAnsi="Calibri"/>
          <w:b/>
          <w:color w:val="1A1A1A"/>
          <w:sz w:val="22"/>
        </w:rPr>
        <w:t>Score: [Green / Yellow / Red]</w:t>
      </w:r>
    </w:p>
    <w:p>
      <w:pPr>
        <w:spacing w:after="160" w:before="0"/>
      </w:pPr>
      <w:r>
        <w:rPr>
          <w:rFonts w:ascii="Calibri" w:hAnsi="Calibri"/>
          <w:color w:val="1A1A1A"/>
          <w:sz w:val="22"/>
        </w:rPr>
        <w:t>Specific exchange observed (quote or paraphrase): [Enter here]</w:t>
      </w:r>
    </w:p>
    <w:p>
      <w:pPr>
        <w:spacing w:after="160" w:before="0"/>
      </w:pPr>
      <w:r>
        <w:rPr>
          <w:rFonts w:ascii="Calibri" w:hAnsi="Calibri"/>
          <w:color w:val="1A1A1A"/>
          <w:sz w:val="22"/>
        </w:rPr>
        <w:t>Management action required: [None / Coaching debrief (INT-TBV-09 Pattern B) / Log deviation in INT-TBV-03]</w:t>
      </w:r>
    </w:p>
    <w:p>
      <w:pPr>
        <w:pStyle w:val="Heading2"/>
      </w:pPr>
      <w:r>
        <w:t>L-3: 'We just' minimization language</w:t>
      </w:r>
    </w:p>
    <w:p>
      <w:pPr>
        <w:spacing w:after="160" w:before="0"/>
      </w:pPr>
      <w:r>
        <w:rPr>
          <w:rFonts w:ascii="Calibri" w:hAnsi="Calibri"/>
          <w:color w:val="1A1A1A"/>
          <w:sz w:val="22"/>
        </w:rPr>
        <w:t>Did the consultant use 'we just' minimization language to describe a customization? Examples: 'We just added a small client script,' 'We just tweaked the workflow,' 'We just made a minor change to the form.' This language normalizes customization and signals that the discipline posture is eroding.</w:t>
      </w:r>
    </w:p>
    <w:tbl>
      <w:tblPr>
        <w:tblW w:type="auto" w:w="0"/>
        <w:jc w:val="left"/>
        <w:tblLook w:firstColumn="1" w:firstRow="1" w:lastColumn="0" w:lastRow="0" w:noHBand="0" w:noVBand="1" w:val="04A0"/>
      </w:tblPr>
      <w:tblGrid>
        <w:gridCol w:w="4680"/>
        <w:gridCol w:w="468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Score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Criteria</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 ✓</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 'we just' minimization language observed. Customizations were described accurately if they were discussed.</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Yellow ⚠</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One or two minimization phrases observed but the substance of the customization was not hidden.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Red ✗</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Minimization language used to obscure the nature or extent of a customization from the customer or EM.</w:t>
            </w:r>
          </w:p>
        </w:tc>
      </w:tr>
    </w:tbl>
    <w:p>
      <w:pPr>
        <w:spacing w:after="40"/>
      </w:pPr>
    </w:p>
    <w:p>
      <w:pPr>
        <w:spacing w:after="40" w:before="0"/>
      </w:pPr>
      <w:r>
        <w:rPr>
          <w:rFonts w:ascii="Calibri" w:hAnsi="Calibri"/>
          <w:b/>
          <w:color w:val="1A1A1A"/>
          <w:sz w:val="22"/>
        </w:rPr>
        <w:t>Score: [Green / Yellow / Red]</w:t>
      </w:r>
    </w:p>
    <w:p>
      <w:pPr>
        <w:spacing w:after="160" w:before="0"/>
      </w:pPr>
      <w:r>
        <w:rPr>
          <w:rFonts w:ascii="Calibri" w:hAnsi="Calibri"/>
          <w:color w:val="1A1A1A"/>
          <w:sz w:val="22"/>
        </w:rPr>
        <w:t>Specific phrase observed: [Quote exactly if possible]</w:t>
      </w:r>
    </w:p>
    <w:p>
      <w:pPr>
        <w:spacing w:after="160" w:before="0"/>
      </w:pPr>
      <w:r>
        <w:rPr>
          <w:rFonts w:ascii="Calibri" w:hAnsi="Calibri"/>
          <w:color w:val="1A1A1A"/>
          <w:sz w:val="22"/>
        </w:rPr>
        <w:t>Management action required: [None / Coaching debrief (INT-TBV-09 Pattern A) / Escalate to EM]</w:t>
      </w:r>
    </w:p>
    <w:p>
      <w:r>
        <w:br w:type="page"/>
      </w:r>
    </w:p>
    <w:p>
      <w:pPr>
        <w:pStyle w:val="Heading1"/>
      </w:pPr>
      <w:r>
        <w:t>3.  Audit Summary and Management Actions</w:t>
      </w:r>
    </w:p>
    <w:p>
      <w:pPr>
        <w:pStyle w:val="Heading2"/>
      </w:pPr>
      <w:r>
        <w:t>Score summary</w:t>
      </w:r>
    </w:p>
    <w:tbl>
      <w:tblPr>
        <w:tblW w:type="auto" w:w="0"/>
        <w:jc w:val="left"/>
        <w:tblLook w:firstColumn="1" w:firstRow="1" w:lastColumn="0" w:lastRow="0" w:noHBand="0" w:noVBand="1" w:val="04A0"/>
      </w:tblPr>
      <w:tblGrid>
        <w:gridCol w:w="3120"/>
        <w:gridCol w:w="3120"/>
        <w:gridCol w:w="312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Audit Item</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Score</w:t>
            </w:r>
          </w:p>
        </w:tc>
        <w:tc>
          <w:tcPr>
            <w:tcW w:type="dxa" w:w="60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Management Action Required</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C-1: Process routing</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[Green/Yellow/Red]</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C-2: Configuration hygiene</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[Green/Yellow/Red]</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C-3: Customization compliance</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[Green/Yellow/Red]</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L-1: OOTB defense when challenged</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[Green/Yellow/Red]</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L-2: Deviation lifecycle framing</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[Green/Yellow/Red]</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L-3: 'We just' minimization</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[Green/Yellow/Red]</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Overall audit result</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[Green/Yellow/Red]</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pStyle w:val="Heading2"/>
      </w:pPr>
      <w:r>
        <w:t>Overall audit interpretation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Result</w:t>
            </w:r>
          </w:p>
        </w:tc>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Criteria</w:t>
            </w:r>
          </w:p>
        </w:tc>
        <w:tc>
          <w:tcPr>
            <w:tcW w:type="dxa" w:w="662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the EM Does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6 items Green</w:t>
            </w:r>
          </w:p>
        </w:tc>
        <w:tc>
          <w:tcPr>
            <w:tcW w:type="dxa" w:w="662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 action required. File audit. Note in weekly variance scan.</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Yellow</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1–2 items Yellow, none Red</w:t>
            </w:r>
          </w:p>
        </w:tc>
        <w:tc>
          <w:tcPr>
            <w:tcW w:type="dxa" w:w="662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Coaching debrief within 48 hrs. Note in weekly scan. Update health dashboard.</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Red</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Any item Red OR 3+ items Yellow</w:t>
            </w:r>
          </w:p>
        </w:tc>
        <w:tc>
          <w:tcPr>
            <w:tcW w:type="dxa" w:w="662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Coaching debrief within 24 hrs. Update health dashboard vector. Assess for band change. Escalate to Practice Lead if C-3 is Red.</w:t>
            </w:r>
          </w:p>
        </w:tc>
      </w:tr>
    </w:tbl>
    <w:p>
      <w:pPr>
        <w:spacing w:after="40"/>
      </w:pPr>
    </w:p>
    <w:p>
      <w:pPr>
        <w:pStyle w:val="Heading2"/>
      </w:pPr>
      <w:r>
        <w:t>Coaching debriefs required</w:t>
      </w:r>
    </w:p>
    <w:p>
      <w:pPr>
        <w:spacing w:after="160" w:before="0"/>
      </w:pPr>
      <w:r>
        <w:rPr>
          <w:rFonts w:ascii="Calibri" w:hAnsi="Calibri"/>
          <w:color w:val="1A1A1A"/>
          <w:sz w:val="22"/>
        </w:rPr>
        <w:t>List the coaching conversations this audit triggers. Reference INT-TBV-09 for templates.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Consultant</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Pattern (from INT-TBV-09)</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EM Target Date</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Completed?</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bl>
    <w:p>
      <w:pPr>
        <w:spacing w:after="40"/>
      </w:pPr>
    </w:p>
    <w:p>
      <w:pPr>
        <w:pStyle w:val="Heading2"/>
      </w:pPr>
      <w:r>
        <w:t>Dashboard update</w:t>
      </w:r>
    </w:p>
    <w:p>
      <w:pPr>
        <w:spacing w:after="160" w:before="0"/>
      </w:pPr>
      <w:r>
        <w:rPr>
          <w:rFonts w:ascii="Calibri" w:hAnsi="Calibri"/>
          <w:color w:val="1A1A1A"/>
          <w:sz w:val="22"/>
        </w:rPr>
        <w:t>Update the following tabs in INT-TBV-02 based on this audit's findings:</w:t>
      </w:r>
    </w:p>
    <w:p>
      <w:pPr>
        <w:pStyle w:val="ListBullet"/>
        <w:spacing w:after="40"/>
        <w:ind w:left="360"/>
      </w:pPr>
      <w:r>
        <w:rPr>
          <w:rFonts w:ascii="Calibri" w:hAnsi="Calibri"/>
          <w:sz w:val="22"/>
        </w:rPr>
        <w:t>Process Adoption tab — update vector score for this sprint week if C-1 scored Yellow or Red.</w:t>
      </w:r>
    </w:p>
    <w:p>
      <w:pPr>
        <w:pStyle w:val="ListBullet"/>
        <w:spacing w:after="40"/>
        <w:ind w:left="360"/>
      </w:pPr>
      <w:r>
        <w:rPr>
          <w:rFonts w:ascii="Calibri" w:hAnsi="Calibri"/>
          <w:sz w:val="22"/>
        </w:rPr>
        <w:t>Config Hygiene tab — update vector score if C-2 scored Yellow or Red.</w:t>
      </w:r>
    </w:p>
    <w:p>
      <w:pPr>
        <w:pStyle w:val="ListBullet"/>
        <w:spacing w:after="40"/>
        <w:ind w:left="360"/>
      </w:pPr>
      <w:r>
        <w:rPr>
          <w:rFonts w:ascii="Calibri" w:hAnsi="Calibri"/>
          <w:sz w:val="22"/>
        </w:rPr>
        <w:t>Custom Variance tab — update if C-3 revealed an unlogged customization (log in INT-TBV-03 first).</w:t>
      </w:r>
    </w:p>
    <w:p>
      <w:pPr>
        <w:spacing w:after="160" w:before="0"/>
      </w:pPr>
      <w:r>
        <w:rPr>
          <w:rFonts w:ascii="Calibri" w:hAnsi="Calibri"/>
          <w:color w:val="1A1A1A"/>
          <w:sz w:val="22"/>
        </w:rPr>
        <w:t>Dashboard updated by: [SA or EM name]    Date: [Date]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If C-3 scored Red (unannounced customization discovered), the EM must invoke the Course-Correction Playbook (INT-TBV-08) same-day. An unannounced customization automatically triggers the Red variance band — this is not optional and is not a coaching conversation, it is a course-correction event.</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Internal · Sprint Demo Discipline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