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TEMPLATE · PRACTICE MANAGEMENT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Practice Management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Monthly Review Template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Cross-engagement health roll-up for the Practice Lead — 90 minutes once per month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Practice Lead (completes and presents) · ECS Leadership (receives Practice Health Tile)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INT-TBV-01 (Manager Playbook) · INT-TBV-02 (Health Dashboard) · INT-TBV-08 (Course-Correction Playbook)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INT-TBV-07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Practice Management Monthly Review is where the single-engagement view becomes a practice-wide view. The Practice Lead reviews rolled-up dashboards across all active engagements and produces the Practice Health Tile — a one-page artifact for ECS leadership. This is where pattern-spotting happens: the same drift in three engagements at sprint 3 is not three problems, it is one collateral gap.</w:t>
      </w:r>
    </w:p>
    <w:p>
      <w:pPr>
        <w:pStyle w:val="Heading1"/>
      </w:pPr>
      <w:r>
        <w:t>How to Use This Template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Practice Lead completes one copy of this template per monthly review cycle (target: first Monday of each month). Sections 1 through 4 are completed during the 90-minute review session using the rolled-up dashboards from all active engagements. Section 5 (Practice Health Tile) is extracted and shared with ECS leadership as a standalone page. Section 6 routes escalations and follow-up actions. Store the completed review in the practice SharePoint under Practice Management &gt; Monthly Reviews.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The review exists to answer one question: where is the practice as a whole, not where is any one engagement. A Practice Lead who reviews only individual engagement status has missed the purpose of this review entirely.</w:t>
      </w:r>
    </w:p>
    <w:p>
      <w:r>
        <w:br w:type="page"/>
      </w:r>
    </w:p>
    <w:p>
      <w:pPr>
        <w:pStyle w:val="Heading1"/>
      </w:pPr>
      <w:r>
        <w:t>Review Header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Field</w:t>
            </w:r>
          </w:p>
        </w:tc>
        <w:tc>
          <w:tcPr>
            <w:tcW w:type="dxa" w:w="80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Month</w:t>
            </w:r>
          </w:p>
        </w:tc>
        <w:tc>
          <w:tcPr>
            <w:tcW w:type="dxa" w:w="80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[Month Year — e.g., May 2026]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Review Date</w:t>
            </w:r>
          </w:p>
        </w:tc>
        <w:tc>
          <w:tcPr>
            <w:tcW w:type="dxa" w:w="80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Practice Lead</w:t>
            </w:r>
          </w:p>
        </w:tc>
        <w:tc>
          <w:tcPr>
            <w:tcW w:type="dxa" w:w="80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[Name]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Active Engagements Reviewed</w:t>
            </w:r>
          </w:p>
        </w:tc>
        <w:tc>
          <w:tcPr>
            <w:tcW w:type="dxa" w:w="80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[Number]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 Names</w:t>
            </w:r>
          </w:p>
        </w:tc>
        <w:tc>
          <w:tcPr>
            <w:tcW w:type="dxa" w:w="80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[List all engagements included in this review]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Engagements in Hypercare</w:t>
            </w:r>
          </w:p>
        </w:tc>
        <w:tc>
          <w:tcPr>
            <w:tcW w:type="dxa" w:w="80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[List — these are included in roll-up but scored differently]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Engagements starting this month</w:t>
            </w:r>
          </w:p>
        </w:tc>
        <w:tc>
          <w:tcPr>
            <w:tcW w:type="dxa" w:w="806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[List — Sprint 0 or Sprint 1]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 Section 1 — Cross-Engagement Health Roll-Up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Transfer the Overall Band from each engagement's INT-TBV-02 Roll-Up tab into the table below. The Practice Lead reviews each entry and notes any band changes since the prior month.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Engagement</w:t>
            </w:r>
          </w:p>
        </w:tc>
        <w:tc>
          <w:tcPr>
            <w:tcW w:type="dxa" w:w="10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Sprint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Process</w:t>
              <w:br/>
              <w:t>Adoption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Config</w:t>
              <w:br/>
              <w:t>Hygiene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Custom</w:t>
              <w:br/>
              <w:t>Variance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Adoption</w:t>
              <w:br/>
              <w:t>Readiness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Sentiment</w:t>
              <w:br/>
              <w:t>&amp; Trust</w:t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Overall</w:t>
              <w:br/>
              <w:t>Band</w:t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Change vs</w:t>
              <w:br/>
              <w:t>Prior Month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[Engagement 1]</w:t>
            </w:r>
          </w:p>
        </w:tc>
        <w:tc>
          <w:tcPr>
            <w:tcW w:type="dxa" w:w="10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[Engagement 2]</w:t>
            </w:r>
          </w:p>
        </w:tc>
        <w:tc>
          <w:tcPr>
            <w:tcW w:type="dxa" w:w="10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[Engagement 3]</w:t>
            </w:r>
          </w:p>
        </w:tc>
        <w:tc>
          <w:tcPr>
            <w:tcW w:type="dxa" w:w="10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[Engagement 4]</w:t>
            </w:r>
          </w:p>
        </w:tc>
        <w:tc>
          <w:tcPr>
            <w:tcW w:type="dxa" w:w="10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[Engagement 5]</w:t>
            </w:r>
          </w:p>
        </w:tc>
        <w:tc>
          <w:tcPr>
            <w:tcW w:type="dxa" w:w="10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[Add rows as needed]</w:t>
            </w:r>
          </w:p>
        </w:tc>
        <w:tc>
          <w:tcPr>
            <w:tcW w:type="dxa" w:w="10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Band count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Band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Count This Month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Count Last Month</w:t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Change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Green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Yellow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Orange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Red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Total Active Engagements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 Section 2 — Pattern-Spotting Analysis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The Practice Lead asks the same five questions every month. A pattern appearing in two or more engagements at the same sprint stage is not a coincidence — it is a signal that routes to one of four responses: coaching, collateral build, sales positioning update, or product-feedback escalation.</w:t>
      </w:r>
    </w:p>
    <w:p>
      <w:pPr>
        <w:pStyle w:val="Heading2"/>
      </w:pPr>
      <w:r>
        <w:t>Question 1 — Vector patterns: same vector yellow across multiple engagements?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Which health vectors are yellow or red in two or more engagements? At what sprint stage does this typically appear?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[Enter analysis — or 'No cross-engagement vector pattern identified this month']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Vector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Engagements Affected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Sprint Stage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Pattern or Coincidence?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Response Route</w:t>
            </w:r>
          </w:p>
        </w:tc>
      </w:tr>
      <w:tr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Process Adoption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Config Hygiene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 Variance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Adoption Readiness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Sentiment &amp; Trust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Question 2 — Customization patterns: same type of request appearing across engagements?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Are certain types of customization requests appearing repeatedly? Same module, same customer archetype, same OOTB gap? A pattern here signals either a collateral gap (the Adopt-vs-Re-engineer cheatsheet for that area is missing or insufficient) or a sales positioning gap (the SOW scope is being interpreted too loosely in presales).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[Enter analysis]</w:t>
      </w:r>
    </w:p>
    <w:p>
      <w:pPr>
        <w:pStyle w:val="Heading2"/>
      </w:pPr>
      <w:r>
        <w:t>Question 3 — Sprint timing: drift appearing at the same sprint for multiple engagements?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Are engagements drifting at predictable sprint points? Sprints 2 and 4 are historically high-pressure for customization requests (Catalog at Sprint 2, CMDB at Sprint 4). If multiple engagements are showing Yellow at the same sprint, the practice may need a Sprint 2 or Sprint 4 specific guide.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[Enter analysis]</w:t>
      </w:r>
    </w:p>
    <w:p>
      <w:pPr>
        <w:pStyle w:val="Heading2"/>
      </w:pPr>
      <w:r>
        <w:t>Question 4 — Language signals: same customer pushback language appearing across engagements?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Are Engagement Managers reporting the same customer language across engagements? ('But our old system did X' for the same X, or 'We have a unique approval requirement' in the same module.) Repeated language signals either a gap in the pre-workshop pre-reads or a sales expectation mismatch.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[Enter analysis]</w:t>
      </w:r>
    </w:p>
    <w:p>
      <w:pPr>
        <w:pStyle w:val="Heading2"/>
      </w:pPr>
      <w:r>
        <w:t>Question 5 — Collateral gaps: what would have prevented the drift we observed?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For each engagement that moved bands this month, ask: what collateral would have prevented or accelerated recovery from the drift? A missing Adopt-vs-Re-engineer cheatsheet, a missing discipline how-to guide, a missing workshop pre-read? These observations drive the quarterly collateral refresh.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[Enter observations]</w:t>
      </w:r>
    </w:p>
    <w:p>
      <w:r>
        <w:br w:type="page"/>
      </w:r>
    </w:p>
    <w:p>
      <w:pPr>
        <w:pStyle w:val="Heading1"/>
      </w:pPr>
      <w:r>
        <w:t>3.  Section 3 — Pattern Response Routing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For each pattern identified in Section 2, the Practice Lead selects one of four response routes. Multiple routes can be selected for a single pattern. Owners and target dates are assigned.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Pattern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Response Route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Target Date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[Pattern from Section 2]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[Coaching / Collateral / Sales positioning / Product feedback]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34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Response route definitions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Route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Meaning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Typical Output</w:t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Coaching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 discipline gap in the consultant team — addressed through INT-TBV-09 coaching conversations or a team-wide practice session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Coaching conversation or team session within 30 days</w:t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Collateral build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 missing or insufficient artifact in the practice library — route to the Master Blueprint catalog as a new build priority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New artifact added to blueprint roadmap</w:t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Sales positioning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 mismatch between what was sold and what OOTB delivers — route to the sales objection handling pack for update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Updated INT-SP-06 or presales talking points</w:t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Product feedback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 genuine OOTB gap in ServiceNow that the product team should address — documented and submitted through the ServiceNow partnership channel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Formal product feedback filed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 Section 4 — Escalation Decisions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Three classes of finding escalate from the monthly review to ECS leadership. Escalation is not an alarm — it is an early-warning so leadership can support, deploy a senior consultant, or open a sponsor-to-sponsor conversation.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Escalation Class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Engagement(s)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Recommended Leadership Action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Practice Lead's Ask</w:t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Red band engagement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Pattern in 3+ engagements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Renewal / expansion at risk</w:t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01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Escalation items to be presented to ECS leadership: [Yes / No — if No, state why not applicable this month]</w:t>
      </w:r>
    </w:p>
    <w:p>
      <w:r>
        <w:br w:type="page"/>
      </w:r>
    </w:p>
    <w:p>
      <w:pPr>
        <w:pStyle w:val="Heading1"/>
      </w:pPr>
      <w:r>
        <w:t>5.  Section 5 — Practice Health Tile (Standalone / Leadership Artifact)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This section is the artifact the Practice Lead extracts and shares with ECS leadership. It is designed to be read in under two minutes. Copy the content from Sections 1 through 4 into this summary format. Do not include raw dashboard data in the tile.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The Practice Health Tile is for ECS leadership only. It does not go to customers or partners. It should be formatted to stand alone — do not reference section numbers from this template.</w:t>
      </w:r>
    </w:p>
    <w:p>
      <w:pPr>
        <w:pStyle w:val="Heading2"/>
      </w:pPr>
      <w:r>
        <w:t>Practice snapshot — [Month Year]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77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Active engagements</w:t>
            </w:r>
          </w:p>
        </w:tc>
        <w:tc>
          <w:tcPr>
            <w:tcW w:type="dxa" w:w="77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Engagements in Green band</w:t>
            </w:r>
          </w:p>
        </w:tc>
        <w:tc>
          <w:tcPr>
            <w:tcW w:type="dxa" w:w="77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Engagements in Yellow band</w:t>
            </w:r>
          </w:p>
        </w:tc>
        <w:tc>
          <w:tcPr>
            <w:tcW w:type="dxa" w:w="77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Engagements in Orange band</w:t>
            </w:r>
          </w:p>
        </w:tc>
        <w:tc>
          <w:tcPr>
            <w:tcW w:type="dxa" w:w="77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Engagements in Red band (named)</w:t>
            </w:r>
          </w:p>
        </w:tc>
        <w:tc>
          <w:tcPr>
            <w:tcW w:type="dxa" w:w="77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Band movements since last month</w:t>
            </w:r>
          </w:p>
        </w:tc>
        <w:tc>
          <w:tcPr>
            <w:tcW w:type="dxa" w:w="77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Top 3 findings this month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[Finding 1 — one sentence describing the most significant pattern or risk observed this month]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[Finding 2 — one sentence]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[Finding 3 — one sentence]</w:t>
      </w:r>
    </w:p>
    <w:p>
      <w:pPr>
        <w:pStyle w:val="Heading2"/>
      </w:pPr>
      <w:r>
        <w:t>Actions the Practice Lead is taking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[Action 1 — brief description, owner, target date]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[Action 2 — brief description, owner, target date]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[Action 3 — brief description, owner, target date]</w:t>
      </w:r>
    </w:p>
    <w:p>
      <w:pPr>
        <w:pStyle w:val="Heading2"/>
      </w:pPr>
      <w:r>
        <w:t>What Practice Lead needs from ECS leadership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[Leadership ask 1 — be specific: a resource, a sponsor-to-sponsor call, a PCR approval, etc. — or 'No leadership action required this month']</w:t>
      </w:r>
    </w:p>
    <w:p>
      <w:r>
        <w:br w:type="page"/>
      </w:r>
    </w:p>
    <w:p>
      <w:pPr>
        <w:pStyle w:val="Heading1"/>
      </w:pPr>
      <w:r>
        <w:t>6.  Section 6 — Monthly Action Tracker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All actions identified in this review. The Practice Lead owns tracking through the next monthly review.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Action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Due Date</w:t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[Coaching/Collateral/Sales/Product]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</w:t>
            </w:r>
          </w:p>
        </w:tc>
      </w:tr>
      <w:tr>
        <w:tc>
          <w:tcPr>
            <w:tcW w:type="dxa" w:w="57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89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</w:t>
            </w:r>
          </w:p>
        </w:tc>
      </w:tr>
    </w:tbl>
    <w:p>
      <w:pPr>
        <w:spacing w:after="40"/>
      </w:pPr>
    </w:p>
    <w:p>
      <w:pPr>
        <w:pStyle w:val="Heading2"/>
      </w:pPr>
      <w:r>
        <w:t>Carry-forward from prior month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List any actions from last month's review that are not yet complete.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Month Opened</w:t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Action</w:t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Escalate?</w:t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</w:t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</w:t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</w:t>
            </w:r>
          </w:p>
        </w:tc>
      </w:tr>
      <w:tr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633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4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Closed</w:t>
            </w:r>
          </w:p>
        </w:tc>
        <w:tc>
          <w:tcPr>
            <w:tcW w:type="dxa" w:w="115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N/A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/>
    <w:r>
      <w:tab/>
    </w:r>
    <w:r>
      <w:rPr>
        <w:rFonts w:ascii="Calibri" w:hAnsi="Calibri"/>
        <w:color w:val="475569"/>
        <w:spacing w:val="30"/>
        <w:sz w:val="18"/>
      </w:rPr>
      <w:t>Internal · Practice Management Monthly Review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