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C9A02B"/>
          <w:sz w:val="20"/>
        </w:rPr>
        <w:t>EVERFORTH ECS PRACTICE</w:t>
      </w:r>
    </w:p>
    <w:p>
      <w:pPr>
        <w:spacing w:after="80"/>
        <w:jc w:val="center"/>
      </w:pPr>
      <w:r>
        <w:rPr>
          <w:rFonts w:ascii="Arial" w:hAnsi="Arial"/>
          <w:b/>
          <w:color w:val="1B3A6B"/>
          <w:sz w:val="48"/>
        </w:rPr>
        <w:t>ECS Delivery Intelligence Platform</w:t>
      </w:r>
    </w:p>
    <w:p>
      <w:pPr>
        <w:spacing w:after="120"/>
        <w:jc w:val="center"/>
      </w:pPr>
      <w:r>
        <w:rPr>
          <w:rFonts w:ascii="Arial" w:hAnsi="Arial"/>
          <w:b/>
          <w:color w:val="2E75B6"/>
          <w:sz w:val="30"/>
        </w:rPr>
        <w:t>Collateral Index &amp; Team Review Guide</w:t>
      </w:r>
    </w:p>
    <w:p>
      <w:pPr>
        <w:spacing w:before="40" w:after="40"/>
        <w:pBdr>
          <w:bottom w:val="single" w:sz="4" w:space="1" w:color="2E75B6"/>
        </w:pBdr>
      </w:pPr>
    </w:p>
    <w:p>
      <w:pPr>
        <w:spacing w:before="200"/>
        <w:jc w:val="center"/>
      </w:pPr>
      <w:r>
        <w:rPr>
          <w:rFonts w:ascii="Arial" w:hAnsi="Arial"/>
          <w:i/>
          <w:color w:val="707070"/>
          <w:sz w:val="22"/>
        </w:rPr>
        <w:t>All documents, what they are, who they are for, and how to use them together.</w:t>
      </w:r>
    </w:p>
    <w:p>
      <w:pPr>
        <w:jc w:val="center"/>
      </w:pPr>
      <w:r>
        <w:rPr>
          <w:rFonts w:ascii="Arial" w:hAnsi="Arial"/>
          <w:color w:val="707070"/>
          <w:sz w:val="20"/>
        </w:rPr>
        <w:t>Senior Director Reference  ·  May 2026  ·  INTERNAL</w:t>
      </w:r>
    </w:p>
    <w:p/>
    <w:p>
      <w:r>
        <w:br w:type="page"/>
      </w:r>
    </w:p>
    <w:p>
      <w:pPr>
        <w:spacing w:before="320" w:after="100"/>
        <w:pBdr>
          <w:bottom w:val="single" w:sz="6" w:space="1" w:color="1B3A6B"/>
        </w:pBdr>
      </w:pPr>
      <w:r>
        <w:rPr>
          <w:rFonts w:ascii="Arial" w:hAnsi="Arial"/>
          <w:b/>
          <w:color w:val="1B3A6B"/>
          <w:sz w:val="26"/>
        </w:rPr>
        <w:t>1. WHAT THIS PACKAGE IS</w:t>
      </w:r>
    </w:p>
    <w:p>
      <w:pPr>
        <w:spacing w:before="0" w:after="140"/>
        <w:jc w:val="left"/>
      </w:pPr>
      <w:r>
        <w:rPr>
          <w:rFonts w:ascii="Arial" w:hAnsi="Arial"/>
          <w:b w:val="0"/>
          <w:i w:val="0"/>
          <w:color w:val="1F1F1F"/>
          <w:sz w:val="21"/>
        </w:rPr>
        <w:t>Over the course of this session, we designed a complete architectural and investment package for the ECS Delivery Intelligence Platform — a ServiceNow application that replaces manual delivery spreadsheets with a living, role-based platform tied directly to Agile, SPM, and the Knowledge Base.</w:t>
      </w:r>
    </w:p>
    <w:p>
      <w:pPr>
        <w:spacing w:before="0" w:after="140"/>
        <w:jc w:val="left"/>
      </w:pPr>
      <w:r>
        <w:rPr>
          <w:rFonts w:ascii="Arial" w:hAnsi="Arial"/>
          <w:b w:val="0"/>
          <w:i w:val="0"/>
          <w:color w:val="1F1F1F"/>
          <w:sz w:val="21"/>
        </w:rPr>
        <w:t>Two architectural approaches were fully designed (Blueprint A: full custom app; Blueprint B: table extends), each with a detailed technical blueprint, a project plan importable to MS Project or ServiceNow PPM, and an executive briefing for overhead approval. A rationale document was built for the Director of Technical Services review. This document is the master index that ties everything together.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EBF3FB"/>
          </w:tcPr>
          <w:p>
            <w:pPr>
              <w:spacing w:before="100" w:after="40"/>
              <w:ind w:left="144"/>
            </w:pPr>
            <w:r>
              <w:rPr>
                <w:rFonts w:ascii="Arial" w:hAnsi="Arial"/>
                <w:b/>
                <w:color w:val="1B3A6B"/>
                <w:sz w:val="20"/>
              </w:rPr>
              <w:t xml:space="preserve">The pending decision:  </w:t>
            </w:r>
            <w:r>
              <w:rPr>
                <w:rFonts w:ascii="Arial" w:hAnsi="Arial"/>
                <w:color w:val="1F1F1F"/>
                <w:sz w:val="20"/>
              </w:rPr>
              <w:t>All collateral is complete for a review session with Shawn (Director of Technical Services). The one outstanding decision is Blueprint A vs. Blueprint B — everything else can proceed once that is resolved.</w:t>
            </w:r>
          </w:p>
          <w:p>
            <w:pPr>
              <w:spacing w:after="100"/>
            </w:pPr>
          </w:p>
        </w:tc>
      </w:tr>
    </w:tbl>
    <w:p>
      <w:pPr>
        <w:spacing w:after="80"/>
      </w:pPr>
    </w:p>
    <w:p>
      <w:pPr>
        <w:spacing w:before="320" w:after="100"/>
        <w:pBdr>
          <w:bottom w:val="single" w:sz="6" w:space="1" w:color="1B3A6B"/>
        </w:pBdr>
      </w:pPr>
      <w:r>
        <w:rPr>
          <w:rFonts w:ascii="Arial" w:hAnsi="Arial"/>
          <w:b/>
          <w:color w:val="1B3A6B"/>
          <w:sz w:val="26"/>
        </w:rPr>
        <w:t>2. WHERE EVERYTHING LIVES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1F1F1F"/>
          <w:sz w:val="21"/>
        </w:rPr>
        <w:t>All delivery app documents are in one folder: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100" w:after="40"/>
              <w:ind w:left="144"/>
            </w:pPr>
            <w:r>
              <w:rPr>
                <w:rFonts w:ascii="Arial" w:hAnsi="Arial"/>
                <w:b/>
                <w:color w:val="1B3A6B"/>
                <w:sz w:val="20"/>
              </w:rPr>
              <w:t xml:space="preserve">Folder:  </w:t>
            </w:r>
            <w:r>
              <w:rPr>
                <w:rFonts w:ascii="Arial" w:hAnsi="Arial"/>
                <w:color w:val="1F1F1F"/>
                <w:sz w:val="20"/>
              </w:rPr>
              <w:t>01_Internal / 10_Delivery_App_Blueprint /</w:t>
            </w:r>
          </w:p>
          <w:p>
            <w:pPr>
              <w:spacing w:after="100"/>
            </w:pPr>
          </w:p>
        </w:tc>
      </w:tr>
    </w:tbl>
    <w:p>
      <w:pPr>
        <w:spacing w:after="80"/>
      </w:pPr>
    </w:p>
    <w:p>
      <w:pPr>
        <w:spacing w:before="0" w:after="140"/>
        <w:jc w:val="left"/>
      </w:pPr>
      <w:r>
        <w:rPr>
          <w:rFonts w:ascii="Arial" w:hAnsi="Arial"/>
          <w:b w:val="0"/>
          <w:i w:val="0"/>
          <w:color w:val="1F1F1F"/>
          <w:sz w:val="21"/>
        </w:rPr>
        <w:t>This folder is under 01_Internal because all documents in this package are internal to Everforth. Nothing in this folder should be shared directly with customers — the executive briefings and blueprints are overhead approval and architectural review documents, not customer deliverables. Customer-facing materials will be a separate workstream once the architecture is confirmed.</w:t>
      </w:r>
    </w:p>
    <w:p>
      <w:pPr>
        <w:spacing w:before="320" w:after="100"/>
        <w:pBdr>
          <w:bottom w:val="single" w:sz="6" w:space="1" w:color="1B3A6B"/>
        </w:pBdr>
      </w:pPr>
      <w:r>
        <w:rPr>
          <w:rFonts w:ascii="Arial" w:hAnsi="Arial"/>
          <w:b/>
          <w:color w:val="1B3A6B"/>
          <w:sz w:val="26"/>
        </w:rPr>
        <w:t>3. COMPLETE DOCUMENT INDEX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3.1  Technical Architecture Blueprints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Filename</w:t>
            </w:r>
          </w:p>
        </w:tc>
        <w:tc>
          <w:tcPr>
            <w:tcW w:type="dxa" w:w="288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1728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When to Use It</w:t>
            </w:r>
          </w:p>
        </w:tc>
        <w:tc>
          <w:tcPr>
            <w:tcW w:type="dxa" w:w="1152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Who Reads It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ECS_DeliveryApp_Blueprint_A_CustomApp_INTERNAL.docx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Full 13-section technical blueprint for the custom scoped app approach. Data model, role framework, portal design, health score, native module integrations, Store path, implementation sequence, trade-offs.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Architecture review with Shawn. Starting point for developer scoping. Reference during Phase 1–4 build.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Shawn, Senior Director, Lead Developer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ECS_DeliveryApp_Blueprint_B_TableExtends_INTERNAL.docx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Full technical blueprint for the table-extends approach. Same sections as A: which native tables to extend, u_ecs_ field strategy, ACL approach, upgrade risk management.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Architecture review with Shawn (side by side with Blueprint A). Reference if Blueprint B is selected.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Shawn, Senior Director, Lead Developer</w:t>
            </w:r>
          </w:p>
        </w:tc>
      </w:tr>
    </w:tbl>
    <w:p>
      <w:pPr>
        <w:spacing w:after="10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3.2  Project Plans (MS Project / ServiceNow PPM Importable)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Filename</w:t>
            </w:r>
          </w:p>
        </w:tc>
        <w:tc>
          <w:tcPr>
            <w:tcW w:type="dxa" w:w="3168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592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Tabs Inside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ECS_ProjectPlan_BlueprintA_CustomApp.xlsx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Detailed 94-task WBS for Blueprint A. Start/end dates from Jun 1 2026, predecessors, resource assignments, planned hours per task. Ready to import.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Project Plan (94 tasks) | Resource Summary (hours by role by phase) | Import Instructions (MS Project + SNow PPM steps)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ECS_ProjectPlan_BlueprintB_TableExtends.xlsx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Detailed 94-task WBS for Blueprint B. Same structure. Resource Summary tab includes a live Blueprint A vs B comparison with hours saved calculated.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Project Plan (94 tasks) | Resource Summary (with A vs B comparison) | Import Instructions</w:t>
            </w:r>
          </w:p>
        </w:tc>
      </w:tr>
    </w:tbl>
    <w:p>
      <w:pPr>
        <w:spacing w:after="10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3.3  Executive Briefings (Overhead Approval)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Filename</w:t>
            </w:r>
          </w:p>
        </w:tc>
        <w:tc>
          <w:tcPr>
            <w:tcW w:type="dxa" w:w="3168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592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Use This When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ECS_ExecBrief_BlueprintA_CustomApp_INTERNAL.docx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Executive investment brief for Blueprint A. Business case, investment table (hours by role by phase), timeline, RAG risk profile, ROI rationale, A vs B comparison, decisions required. 6 pages.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Presenting the Blueprint A investment case to practice leadership for overhead budget approval.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ECS_ExecBrief_BlueprintB_TableExtends_INTERNAL.docx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Executive investment brief for Blueprint B. Same structure. Emphasises 31% fewer hours, 40% faster deployment, staged investment rationale. 6 pages.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Presenting the Blueprint B investment case, or presenting both side by side to let leadership choose.</w:t>
            </w:r>
          </w:p>
        </w:tc>
      </w:tr>
    </w:tbl>
    <w:p>
      <w:pPr>
        <w:spacing w:after="10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3.4  Supporting Documents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Filename</w:t>
            </w:r>
          </w:p>
        </w:tc>
        <w:tc>
          <w:tcPr>
            <w:tcW w:type="dxa" w:w="3168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592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Use This When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ECS_ArchRationale_ForShawnReview_INTERNAL.docx</w:t>
            </w:r>
          </w:p>
        </w:tc>
        <w:tc>
          <w:tcPr>
            <w:tcW w:type="dxa" w:w="316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Detailed reasoning trace of every architectural decision: why an app vs. standalone, why customer instance, why these tables, why this health formula, 10 challenge questions with red boxes for Shawn to push back on.</w:t>
            </w:r>
          </w:p>
        </w:tc>
        <w:tc>
          <w:tcPr>
            <w:tcW w:type="dxa" w:w="259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Pre-read for the Shawn architecture review session. Shawn marks this up; decisions are recorded as the outcome.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ECS_CollateralIndex_TeamReviewGuide_INTERNAL.docx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This document. Master index of all collateral, what it is, how to use it, review session guide, and decision tracker.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Onboarding team members to the initiative. Structuring review sessions. Tracking the open decisions.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320" w:after="100"/>
        <w:pBdr>
          <w:bottom w:val="single" w:sz="6" w:space="1" w:color="1B3A6B"/>
        </w:pBdr>
      </w:pPr>
      <w:r>
        <w:rPr>
          <w:rFonts w:ascii="Arial" w:hAnsi="Arial"/>
          <w:b/>
          <w:color w:val="1B3A6B"/>
          <w:sz w:val="26"/>
        </w:rPr>
        <w:t>4. HOW TO USE THIS PACKAGE — SUGGESTED REVIEW SEQUENCE</w:t>
      </w:r>
    </w:p>
    <w:p>
      <w:pPr>
        <w:spacing w:before="0" w:after="140"/>
        <w:jc w:val="left"/>
      </w:pPr>
      <w:r>
        <w:rPr>
          <w:rFonts w:ascii="Arial" w:hAnsi="Arial"/>
          <w:b w:val="0"/>
          <w:i w:val="0"/>
          <w:color w:val="1F1F1F"/>
          <w:sz w:val="21"/>
        </w:rPr>
        <w:t>There are two distinct review sessions this package is designed to support. Run them in order — the Shawn architecture review should happen before the overhead approval request, because Shawn's input may change the recommendation.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Session 1 — Architecture Review with Shawn (60–90 minutes)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1F1F1F"/>
          <w:sz w:val="21"/>
        </w:rPr>
        <w:t>Goal: Confirm Blueprint A or B. Resolve the 10 open questions in the rationale doc.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5472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48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Document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Pre-read (Shawn)</w:t>
            </w:r>
          </w:p>
        </w:tc>
        <w:tc>
          <w:tcPr>
            <w:tcW w:type="dxa" w:w="547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Shawn reads ECS_ArchRationale_ForShawnReview_INTERNAL.docx before the session and marks up the challenge boxes with his responses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Arch Rationale doc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Review (both)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Walk through each challenge question. Record Shawn's answers on the rationale doc directly.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Arch Rationale doc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Compare (both)</w:t>
            </w:r>
          </w:p>
        </w:tc>
        <w:tc>
          <w:tcPr>
            <w:tcW w:type="dxa" w:w="547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If needed: open both blueprint docs side by side on the A vs B trade-off table in each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Blueprint A + Blueprint 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Decide (both)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Record the architecture decision and any other resolutions from the open questions table in Section 10 of the rationale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Arch Rationale doc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Action (SD)</w:t>
            </w:r>
          </w:p>
        </w:tc>
        <w:tc>
          <w:tcPr>
            <w:tcW w:type="dxa" w:w="547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Update this index document (Section 6: Decision Log) with the outcomes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This document</w:t>
            </w:r>
          </w:p>
        </w:tc>
      </w:tr>
    </w:tbl>
    <w:p>
      <w:pPr>
        <w:spacing w:after="10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Session 2 — Overhead Approval with Practice Leadership (30–45 minutes)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color w:val="1F1F1F"/>
          <w:sz w:val="21"/>
        </w:rPr>
        <w:t>Goal: Get internal budget/overhead approval to begin the build. Confirm resourcing.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5472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48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Document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Present</w:t>
            </w:r>
          </w:p>
        </w:tc>
        <w:tc>
          <w:tcPr>
            <w:tcW w:type="dxa" w:w="547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Present the Executive Briefing for the selected blueprint (A or B) — or both side by side if leadership wants to make the choice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Selected ExecBrief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Resource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Confirm the specific developer being ring-fenced. Name matters more than title.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ExecBrief + Project Plan</w:t>
            </w:r>
          </w:p>
        </w:tc>
      </w:tr>
      <w:tr>
        <w:tc>
          <w:tcPr>
            <w:tcW w:type="dxa" w:w="14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Timeline</w:t>
            </w:r>
          </w:p>
        </w:tc>
        <w:tc>
          <w:tcPr>
            <w:tcW w:type="dxa" w:w="547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Walk through the 4-phase timeline. Get agreement on Phase 0 kickoff date.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Project Plan xlsx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Approve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Record formal overhead approval (or conditions for approval). Update Section 6 of this document.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This document</w:t>
            </w:r>
          </w:p>
        </w:tc>
      </w:tr>
    </w:tbl>
    <w:p>
      <w:pPr>
        <w:spacing w:after="100"/>
      </w:pPr>
    </w:p>
    <w:p>
      <w:pPr>
        <w:spacing w:before="320" w:after="100"/>
        <w:pBdr>
          <w:bottom w:val="single" w:sz="6" w:space="1" w:color="1B3A6B"/>
        </w:pBdr>
      </w:pPr>
      <w:r>
        <w:rPr>
          <w:rFonts w:ascii="Arial" w:hAnsi="Arial"/>
          <w:b/>
          <w:color w:val="1B3A6B"/>
          <w:sz w:val="26"/>
        </w:rPr>
        <w:t>5. THE NUMBERS AT A GLANCE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324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Blueprint A — Custom App</w:t>
            </w:r>
          </w:p>
        </w:tc>
        <w:tc>
          <w:tcPr>
            <w:tcW w:type="dxa" w:w="324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Blueprint B — Table Extends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Duration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16–18 weeks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10–12 weeks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Total Hours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~1,400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~970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Lead Developer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Studio app dev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Configurator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Lead Developer Hours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648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468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Delivery Manager Hours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240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178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Content Owner Hours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228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156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QA Hours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264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148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Practice Leader Hours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20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20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App Engine SKU Required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Yes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No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Store Path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Clean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Difficult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First Engagement Deploy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~Oct 2026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~Sep 2026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Upgrade Risk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Low</w:t>
            </w:r>
          </w:p>
        </w:tc>
        <w:tc>
          <w:tcPr>
            <w:tcW w:type="dxa" w:w="324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Medium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Commercial Scalability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High</w:t>
            </w:r>
          </w:p>
        </w:tc>
        <w:tc>
          <w:tcPr>
            <w:tcW w:type="dxa" w:w="324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Medium</w:t>
            </w:r>
          </w:p>
        </w:tc>
      </w:tr>
    </w:tbl>
    <w:p>
      <w:pPr>
        <w:spacing w:after="100"/>
      </w:pPr>
    </w:p>
    <w:p>
      <w:pPr>
        <w:spacing w:before="320" w:after="100"/>
        <w:pBdr>
          <w:bottom w:val="single" w:sz="6" w:space="1" w:color="1B3A6B"/>
        </w:pBdr>
      </w:pPr>
      <w:r>
        <w:rPr>
          <w:rFonts w:ascii="Arial" w:hAnsi="Arial"/>
          <w:b/>
          <w:color w:val="1B3A6B"/>
          <w:sz w:val="26"/>
        </w:rPr>
        <w:t>6. DECISION LOG (COMPLETE AFTER REVIEW SESSIONS)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1F1F"/>
          <w:sz w:val="21"/>
        </w:rPr>
        <w:t>Use this table to record decisions as they are made. Update this document after each review session so it becomes the authoritative record of what was decided and why.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160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1584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Decision Made</w:t>
            </w:r>
          </w:p>
        </w:tc>
        <w:tc>
          <w:tcPr>
            <w:tcW w:type="dxa" w:w="1008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296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152"/>
            <w:shd w:val="clear" w:color="auto" w:fill="1B3A6B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Architecture: A or B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Blueprint A / Blueprint B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SD + Shawn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Lead developer confirmed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Name resource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SD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ISV program: start or defer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Start now / defer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SD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Phase 0 kickoff date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Target: 01 Jun 2026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SD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App Engine SKU on customers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Confirm % of portfolio with App Engine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Shawn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Health score validation approach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Backtest on historical data / go with estimate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Shawn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Content table: own or extend KB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Custom table (A) / KB extension (B or hybrid)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Shawn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Store vs update set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Store / Update set / Both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SD + Shawn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Blueprint B exit trigger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Define N engagements or Store commit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SD + Shawn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Overhead approval granted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Yes / Yes with conditions / No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  <w:t>Practice Mgmt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color w:val="1F1F1F"/>
                <w:sz w:val="19"/>
              </w:rPr>
            </w:r>
          </w:p>
        </w:tc>
      </w:tr>
    </w:tbl>
    <w:p>
      <w:pPr>
        <w:spacing w:after="100"/>
      </w:pPr>
    </w:p>
    <w:p/>
    <w:p>
      <w:pPr>
        <w:spacing w:before="40" w:after="40"/>
        <w:pBdr>
          <w:bottom w:val="single" w:sz="4" w:space="1" w:color="2E75B6"/>
        </w:pBdr>
      </w:pPr>
    </w:p>
    <w:p>
      <w:pPr>
        <w:jc w:val="center"/>
      </w:pPr>
      <w:r>
        <w:rPr>
          <w:rFonts w:ascii="Arial" w:hAnsi="Arial"/>
          <w:color w:val="707070"/>
          <w:sz w:val="16"/>
        </w:rPr>
        <w:t>Everforth ECS Practice  ·  Collateral Index &amp; Team Review Guide  ·  INTERNAL  ·  May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 ·  ServiceNow Practice  ·  Internal Use Only</w:t>
    </w:r>
    <w:r>
      <w:rPr>
        <w:rFonts w:ascii="Calibri" w:hAnsi="Calibri"/>
        <w:color w:val="475569"/>
        <w:sz w:val="16"/>
      </w:rP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 PAGE 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475569"/>
        <w:sz w:val="18"/>
      </w:rPr>
      <w:tab/>
    </w:r>
    <w:r>
      <w:rPr>
        <w:rFonts w:ascii="Calibri" w:hAnsi="Calibri"/>
        <w:color w:val="475569"/>
        <w:sz w:val="18"/>
      </w:rPr>
      <w:t>Internal  ·  Collateral Index &amp; Team Review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