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jc w:val="center"/>
      </w:pPr>
      <w:r>
        <w:rPr>
          <w:rFonts w:ascii="Arial" w:hAnsi="Arial"/>
          <w:b/>
          <w:color w:val="C9A02B"/>
          <w:sz w:val="22"/>
        </w:rPr>
        <w:t>EVERFORTH ECS PRACTICE</w:t>
      </w:r>
    </w:p>
    <w:p>
      <w:pPr>
        <w:spacing w:after="160"/>
        <w:jc w:val="center"/>
      </w:pPr>
      <w:r>
        <w:rPr>
          <w:rFonts w:ascii="Arial" w:hAnsi="Arial"/>
          <w:b/>
          <w:color w:val="1B3A6B"/>
          <w:sz w:val="52"/>
        </w:rPr>
        <w:t>ECS Delivery Intelligence Platform</w:t>
      </w:r>
    </w:p>
    <w:p>
      <w:pPr>
        <w:spacing w:after="80"/>
        <w:jc w:val="center"/>
      </w:pPr>
      <w:r>
        <w:rPr>
          <w:rFonts w:ascii="Arial" w:hAnsi="Arial"/>
          <w:b/>
          <w:color w:val="2E75B6"/>
          <w:sz w:val="32"/>
        </w:rPr>
        <w:t>BLUEPRINT A — FULL CUSTOM APPLICATION</w:t>
      </w:r>
    </w:p>
    <w:p>
      <w:pPr>
        <w:spacing w:before="40" w:after="40"/>
        <w:pBdr>
          <w:bottom w:val="single" w:sz="4" w:space="1" w:color="2E75B6"/>
        </w:pBdr>
      </w:pPr>
    </w:p>
    <w:p>
      <w:pPr>
        <w:spacing w:before="280" w:after="80"/>
        <w:jc w:val="center"/>
      </w:pPr>
      <w:r>
        <w:rPr>
          <w:rFonts w:ascii="Arial" w:hAnsi="Arial"/>
          <w:color w:val="707070"/>
          <w:sz w:val="26"/>
        </w:rPr>
        <w:t>ServiceNow Scoped Application Architecture</w:t>
      </w:r>
    </w:p>
    <w:p>
      <w:pPr>
        <w:spacing w:after="80"/>
        <w:jc w:val="center"/>
      </w:pPr>
      <w:r>
        <w:rPr>
          <w:rFonts w:ascii="Arial" w:hAnsi="Arial"/>
          <w:color w:val="707070"/>
          <w:sz w:val="22"/>
        </w:rPr>
        <w:t>Living Delivery Platform · Role-Based Portal · Native Module Integration</w:t>
      </w:r>
    </w:p>
    <w:p>
      <w:pPr>
        <w:spacing w:before="800"/>
        <w:jc w:val="center"/>
      </w:pPr>
      <w:r>
        <w:rPr>
          <w:rFonts w:ascii="Arial" w:hAnsi="Arial"/>
          <w:b/>
          <w:color w:val="C9A02B"/>
          <w:sz w:val="18"/>
        </w:rPr>
        <w:t>INTERNAL — FOR REVIEW WITH DIRECTOR OF TECHNICAL SERVICES</w:t>
      </w:r>
    </w:p>
    <w:p>
      <w:pPr>
        <w:spacing w:after="80"/>
        <w:jc w:val="center"/>
      </w:pPr>
      <w:r>
        <w:rPr>
          <w:rFonts w:ascii="Arial" w:hAnsi="Arial"/>
          <w:color w:val="707070"/>
          <w:sz w:val="20"/>
        </w:rPr>
        <w:t>May 2026  |  Version 1.0 Draft</w:t>
      </w:r>
    </w:p>
    <w:p>
      <w:r>
        <w:br w:type="page"/>
      </w:r>
    </w:p>
    <w:p>
      <w:pPr>
        <w:spacing w:before="360" w:after="120"/>
        <w:pBdr>
          <w:bottom w:val="single" w:sz="6" w:space="1" w:color="1B3A6B"/>
        </w:pBdr>
      </w:pPr>
      <w:r>
        <w:rPr>
          <w:rFonts w:ascii="Arial" w:hAnsi="Arial"/>
          <w:b/>
          <w:color w:val="1B3A6B"/>
          <w:sz w:val="28"/>
        </w:rPr>
        <w:t>1. EXECUTIVE SUMMARY</w:t>
      </w:r>
    </w:p>
    <w:p>
      <w:pPr>
        <w:spacing w:before="0" w:after="160"/>
        <w:jc w:val="left"/>
      </w:pPr>
      <w:r>
        <w:rPr>
          <w:rFonts w:ascii="Arial" w:hAnsi="Arial"/>
          <w:b w:val="0"/>
          <w:i w:val="0"/>
          <w:color w:val="1F1F1F"/>
          <w:sz w:val="21"/>
        </w:rPr>
        <w:t>This blueprint defines the architecture for the ECS Delivery Intelligence Platform — a ServiceNow scoped application built and owned by Everforth that transforms how we deliver, measure, and demonstrate value during every ECS OOTB engagement.</w:t>
      </w:r>
    </w:p>
    <w:p>
      <w:pPr>
        <w:spacing w:before="0" w:after="160"/>
        <w:jc w:val="left"/>
      </w:pPr>
      <w:r>
        <w:rPr>
          <w:rFonts w:ascii="Arial" w:hAnsi="Arial"/>
          <w:b w:val="0"/>
          <w:i w:val="0"/>
          <w:color w:val="1F1F1F"/>
          <w:sz w:val="21"/>
        </w:rPr>
        <w:t>The platform replaces disconnected spreadsheets, static documents, and manual status updates with a living, record-driven system that surfaces real sprint health, customer transparency, and delivery accountability — all inside the ServiceNow instance the customer is already using. It is not a document repository. It is an operational platform that treats delivery methodology the same way ServiceNow treats IT operations: as structured data, governed workflow, and measurable outcomes.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EBF3FB"/>
          </w:tcPr>
          <w:p>
            <w:pPr>
              <w:spacing w:before="120" w:after="40"/>
              <w:ind w:left="144"/>
            </w:pPr>
            <w:r>
              <w:rPr>
                <w:rFonts w:ascii="Arial" w:hAnsi="Arial"/>
                <w:b/>
                <w:color w:val="1B3A6B"/>
                <w:sz w:val="20"/>
              </w:rPr>
              <w:t xml:space="preserve">Strategic Intent:  </w:t>
            </w:r>
            <w:r>
              <w:rPr>
                <w:rFonts w:ascii="Arial" w:hAnsi="Arial"/>
                <w:color w:val="1F1F1F"/>
                <w:sz w:val="20"/>
              </w:rPr>
              <w:t>Every ECS engagement leaves the customer with two things — a configured ServiceNow platform and a delivery audit trail they can show their leadership. The app is the proof that we operate the way we say we do.</w:t>
            </w:r>
          </w:p>
          <w:p>
            <w:pPr>
              <w:spacing w:after="120"/>
            </w:pP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2592"/>
            <w:shd w:val="clear" w:color="auto" w:fill="1B3A6B"/>
          </w:tcPr>
          <w:p>
            <w:pPr>
              <w:spacing w:before="80" w:after="80"/>
              <w:ind w:left="72"/>
            </w:pPr>
            <w:r>
              <w:rPr>
                <w:rFonts w:ascii="Arial" w:hAnsi="Arial"/>
                <w:b/>
                <w:color w:val="FFFFFF"/>
                <w:sz w:val="20"/>
              </w:rPr>
              <w:t>Dimension</w:t>
            </w:r>
          </w:p>
        </w:tc>
        <w:tc>
          <w:tcPr>
            <w:tcW w:type="dxa" w:w="6768"/>
            <w:shd w:val="clear" w:color="auto" w:fill="1B3A6B"/>
          </w:tcPr>
          <w:p>
            <w:pPr>
              <w:spacing w:before="80" w:after="80"/>
              <w:ind w:left="72"/>
            </w:pPr>
            <w:r>
              <w:rPr>
                <w:rFonts w:ascii="Arial" w:hAnsi="Arial"/>
                <w:b/>
                <w:color w:val="FFFFFF"/>
                <w:sz w:val="20"/>
              </w:rPr>
              <w:t>This Blueprint</w:t>
            </w:r>
          </w:p>
        </w:tc>
      </w:tr>
      <w:tr>
        <w:tc>
          <w:tcPr>
            <w:tcW w:type="dxa" w:w="2592"/>
            <w:shd w:val="clear" w:color="auto" w:fill="F2F2F2"/>
          </w:tcPr>
          <w:p>
            <w:pPr>
              <w:spacing w:before="60" w:after="60"/>
              <w:ind w:left="72"/>
            </w:pPr>
            <w:r>
              <w:rPr>
                <w:rFonts w:ascii="Arial" w:hAnsi="Arial"/>
                <w:color w:val="1F1F1F"/>
                <w:sz w:val="19"/>
              </w:rPr>
              <w:t>Application Type</w:t>
            </w:r>
          </w:p>
        </w:tc>
        <w:tc>
          <w:tcPr>
            <w:tcW w:type="dxa" w:w="6768"/>
            <w:shd w:val="clear" w:color="auto" w:fill="F2F2F2"/>
          </w:tcPr>
          <w:p>
            <w:pPr>
              <w:spacing w:before="60" w:after="60"/>
              <w:ind w:left="72"/>
            </w:pPr>
            <w:r>
              <w:rPr>
                <w:rFonts w:ascii="Arial" w:hAnsi="Arial"/>
                <w:color w:val="1F1F1F"/>
                <w:sz w:val="19"/>
              </w:rPr>
              <w:t>ServiceNow Scoped Application — custom tables, custom portal, native module integration</w:t>
            </w:r>
          </w:p>
        </w:tc>
      </w:tr>
      <w:tr>
        <w:tc>
          <w:tcPr>
            <w:tcW w:type="dxa" w:w="2592"/>
            <w:shd w:val="clear" w:color="auto" w:fill="FFFFFF"/>
          </w:tcPr>
          <w:p>
            <w:pPr>
              <w:spacing w:before="60" w:after="60"/>
              <w:ind w:left="72"/>
            </w:pPr>
            <w:r>
              <w:rPr>
                <w:rFonts w:ascii="Arial" w:hAnsi="Arial"/>
                <w:color w:val="1F1F1F"/>
                <w:sz w:val="19"/>
              </w:rPr>
              <w:t>Deployment Model</w:t>
            </w:r>
          </w:p>
        </w:tc>
        <w:tc>
          <w:tcPr>
            <w:tcW w:type="dxa" w:w="6768"/>
            <w:shd w:val="clear" w:color="auto" w:fill="FFFFFF"/>
          </w:tcPr>
          <w:p>
            <w:pPr>
              <w:spacing w:before="60" w:after="60"/>
              <w:ind w:left="72"/>
            </w:pPr>
            <w:r>
              <w:rPr>
                <w:rFonts w:ascii="Arial" w:hAnsi="Arial"/>
                <w:color w:val="1F1F1F"/>
                <w:sz w:val="19"/>
              </w:rPr>
              <w:t>Installed on customer instance per engagement; portable as update set or Store app</w:t>
            </w:r>
          </w:p>
        </w:tc>
      </w:tr>
      <w:tr>
        <w:tc>
          <w:tcPr>
            <w:tcW w:type="dxa" w:w="2592"/>
            <w:shd w:val="clear" w:color="auto" w:fill="F2F2F2"/>
          </w:tcPr>
          <w:p>
            <w:pPr>
              <w:spacing w:before="60" w:after="60"/>
              <w:ind w:left="72"/>
            </w:pPr>
            <w:r>
              <w:rPr>
                <w:rFonts w:ascii="Arial" w:hAnsi="Arial"/>
                <w:color w:val="1F1F1F"/>
                <w:sz w:val="19"/>
              </w:rPr>
              <w:t>Target Audience</w:t>
            </w:r>
          </w:p>
        </w:tc>
        <w:tc>
          <w:tcPr>
            <w:tcW w:type="dxa" w:w="6768"/>
            <w:shd w:val="clear" w:color="auto" w:fill="F2F2F2"/>
          </w:tcPr>
          <w:p>
            <w:pPr>
              <w:spacing w:before="60" w:after="60"/>
              <w:ind w:left="72"/>
            </w:pPr>
            <w:r>
              <w:rPr>
                <w:rFonts w:ascii="Arial" w:hAnsi="Arial"/>
                <w:color w:val="1F1F1F"/>
                <w:sz w:val="19"/>
              </w:rPr>
              <w:t>Everforth consultants (internal) + customer stakeholders (portal-only access)</w:t>
            </w:r>
          </w:p>
        </w:tc>
      </w:tr>
      <w:tr>
        <w:tc>
          <w:tcPr>
            <w:tcW w:type="dxa" w:w="2592"/>
            <w:shd w:val="clear" w:color="auto" w:fill="FFFFFF"/>
          </w:tcPr>
          <w:p>
            <w:pPr>
              <w:spacing w:before="60" w:after="60"/>
              <w:ind w:left="72"/>
            </w:pPr>
            <w:r>
              <w:rPr>
                <w:rFonts w:ascii="Arial" w:hAnsi="Arial"/>
                <w:color w:val="1F1F1F"/>
                <w:sz w:val="19"/>
              </w:rPr>
              <w:t>Data Strategy</w:t>
            </w:r>
          </w:p>
        </w:tc>
        <w:tc>
          <w:tcPr>
            <w:tcW w:type="dxa" w:w="6768"/>
            <w:shd w:val="clear" w:color="auto" w:fill="FFFFFF"/>
          </w:tcPr>
          <w:p>
            <w:pPr>
              <w:spacing w:before="60" w:after="60"/>
              <w:ind w:left="72"/>
            </w:pPr>
            <w:r>
              <w:rPr>
                <w:rFonts w:ascii="Arial" w:hAnsi="Arial"/>
                <w:color w:val="1F1F1F"/>
                <w:sz w:val="19"/>
              </w:rPr>
              <w:t>Custom tables + native Agile, SPM, Knowledge, Catalog table integration</w:t>
            </w:r>
          </w:p>
        </w:tc>
      </w:tr>
      <w:tr>
        <w:tc>
          <w:tcPr>
            <w:tcW w:type="dxa" w:w="2592"/>
            <w:shd w:val="clear" w:color="auto" w:fill="F2F2F2"/>
          </w:tcPr>
          <w:p>
            <w:pPr>
              <w:spacing w:before="60" w:after="60"/>
              <w:ind w:left="72"/>
            </w:pPr>
            <w:r>
              <w:rPr>
                <w:rFonts w:ascii="Arial" w:hAnsi="Arial"/>
                <w:color w:val="1F1F1F"/>
                <w:sz w:val="19"/>
              </w:rPr>
              <w:t>Dashboard Approach</w:t>
            </w:r>
          </w:p>
        </w:tc>
        <w:tc>
          <w:tcPr>
            <w:tcW w:type="dxa" w:w="6768"/>
            <w:shd w:val="clear" w:color="auto" w:fill="F2F2F2"/>
          </w:tcPr>
          <w:p>
            <w:pPr>
              <w:spacing w:before="60" w:after="60"/>
              <w:ind w:left="72"/>
            </w:pPr>
            <w:r>
              <w:rPr>
                <w:rFonts w:ascii="Arial" w:hAnsi="Arial"/>
                <w:color w:val="1F1F1F"/>
                <w:sz w:val="19"/>
              </w:rPr>
              <w:t>Performance Analytics (PA) + native platform reporting for health scoring</w:t>
            </w:r>
          </w:p>
        </w:tc>
      </w:tr>
      <w:tr>
        <w:tc>
          <w:tcPr>
            <w:tcW w:type="dxa" w:w="2592"/>
            <w:shd w:val="clear" w:color="auto" w:fill="FFFFFF"/>
          </w:tcPr>
          <w:p>
            <w:pPr>
              <w:spacing w:before="60" w:after="60"/>
              <w:ind w:left="72"/>
            </w:pPr>
            <w:r>
              <w:rPr>
                <w:rFonts w:ascii="Arial" w:hAnsi="Arial"/>
                <w:color w:val="1F1F1F"/>
                <w:sz w:val="19"/>
              </w:rPr>
              <w:t>Commercial Path</w:t>
            </w:r>
          </w:p>
        </w:tc>
        <w:tc>
          <w:tcPr>
            <w:tcW w:type="dxa" w:w="6768"/>
            <w:shd w:val="clear" w:color="auto" w:fill="FFFFFF"/>
          </w:tcPr>
          <w:p>
            <w:pPr>
              <w:spacing w:before="60" w:after="60"/>
              <w:ind w:left="72"/>
            </w:pPr>
            <w:r>
              <w:rPr>
                <w:rFonts w:ascii="Arial" w:hAnsi="Arial"/>
                <w:color w:val="1F1F1F"/>
                <w:sz w:val="19"/>
              </w:rPr>
              <w:t>Engagement deliverable initially; ServiceNow Store ISV app as the long-term target</w:t>
            </w:r>
          </w:p>
        </w:tc>
      </w:tr>
      <w:tr>
        <w:tc>
          <w:tcPr>
            <w:tcW w:type="dxa" w:w="2592"/>
            <w:shd w:val="clear" w:color="auto" w:fill="F2F2F2"/>
          </w:tcPr>
          <w:p>
            <w:pPr>
              <w:spacing w:before="60" w:after="60"/>
              <w:ind w:left="72"/>
            </w:pPr>
            <w:r>
              <w:rPr>
                <w:rFonts w:ascii="Arial" w:hAnsi="Arial"/>
                <w:color w:val="1F1F1F"/>
                <w:sz w:val="19"/>
              </w:rPr>
              <w:t>Review Decision</w:t>
            </w:r>
          </w:p>
        </w:tc>
        <w:tc>
          <w:tcPr>
            <w:tcW w:type="dxa" w:w="6768"/>
            <w:shd w:val="clear" w:color="auto" w:fill="F2F2F2"/>
          </w:tcPr>
          <w:p>
            <w:pPr>
              <w:spacing w:before="60" w:after="60"/>
              <w:ind w:left="72"/>
            </w:pPr>
            <w:r>
              <w:rPr>
                <w:rFonts w:ascii="Arial" w:hAnsi="Arial"/>
                <w:color w:val="1F1F1F"/>
                <w:sz w:val="19"/>
              </w:rPr>
              <w:t>Full custom vs. Table Extends (Blueprint B) — to be resolved with Director of Technical Services</w:t>
            </w:r>
          </w:p>
        </w:tc>
      </w:tr>
    </w:tbl>
    <w:p>
      <w:pPr>
        <w:spacing w:after="120"/>
      </w:pPr>
    </w:p>
    <w:p>
      <w:r>
        <w:br w:type="page"/>
      </w:r>
    </w:p>
    <w:p>
      <w:pPr>
        <w:spacing w:before="360" w:after="120"/>
        <w:pBdr>
          <w:bottom w:val="single" w:sz="6" w:space="1" w:color="1B3A6B"/>
        </w:pBdr>
      </w:pPr>
      <w:r>
        <w:rPr>
          <w:rFonts w:ascii="Arial" w:hAnsi="Arial"/>
          <w:b/>
          <w:color w:val="1B3A6B"/>
          <w:sz w:val="28"/>
        </w:rPr>
        <w:t>2. VISION — WHAT WE ARE BUILDING</w:t>
      </w:r>
    </w:p>
    <w:p>
      <w:pPr>
        <w:spacing w:before="0" w:after="200"/>
        <w:jc w:val="left"/>
      </w:pPr>
      <w:r>
        <w:rPr>
          <w:rFonts w:ascii="Arial" w:hAnsi="Arial"/>
          <w:b w:val="0"/>
          <w:i w:val="0"/>
          <w:color w:val="1F1F1F"/>
          <w:sz w:val="21"/>
        </w:rPr>
        <w:t>The ECS Delivery Intelligence Platform is the operational backbone of every engagement. It gives three groups exactly what they need, in one place, without anyone updating a spreadsheet.</w:t>
      </w:r>
    </w:p>
    <w:p>
      <w:pPr>
        <w:spacing w:before="240" w:after="80"/>
      </w:pPr>
      <w:r>
        <w:rPr>
          <w:rFonts w:ascii="Arial" w:hAnsi="Arial"/>
          <w:b/>
          <w:color w:val="2E75B6"/>
          <w:sz w:val="24"/>
        </w:rPr>
        <w:t>2.1  The Consultant Experience</w:t>
      </w:r>
    </w:p>
    <w:p>
      <w:pPr>
        <w:spacing w:before="0" w:after="160"/>
        <w:jc w:val="left"/>
      </w:pPr>
      <w:r>
        <w:rPr>
          <w:rFonts w:ascii="Arial" w:hAnsi="Arial"/>
          <w:b w:val="0"/>
          <w:i w:val="0"/>
          <w:color w:val="1F1F1F"/>
          <w:sz w:val="21"/>
        </w:rPr>
        <w:t>A consultant arriving at Sprint 3 should not have to open five documents to understand where the engagement stands. They log in, see their role-based landing page, and find: what is due this sprint, what decisions are open, where the health indicators are yellow, and what methodology content applies to today's work. The app is their guided workflow, not a filing cabinet.</w:t>
      </w:r>
    </w:p>
    <w:p>
      <w:pPr>
        <w:spacing w:before="240" w:after="80"/>
      </w:pPr>
      <w:r>
        <w:rPr>
          <w:rFonts w:ascii="Arial" w:hAnsi="Arial"/>
          <w:b/>
          <w:color w:val="2E75B6"/>
          <w:sz w:val="24"/>
        </w:rPr>
        <w:t>2.2  The Delivery Manager Experience</w:t>
      </w:r>
    </w:p>
    <w:p>
      <w:pPr>
        <w:spacing w:before="0" w:after="160"/>
        <w:jc w:val="left"/>
      </w:pPr>
      <w:r>
        <w:rPr>
          <w:rFonts w:ascii="Arial" w:hAnsi="Arial"/>
          <w:b w:val="0"/>
          <w:i w:val="0"/>
          <w:color w:val="1F1F1F"/>
          <w:sz w:val="21"/>
        </w:rPr>
        <w:t>The delivery manager stops filling in RAG status spreadsheets. Instead, they review a dashboard that calculates health from real data: sprint completion rate from Agile, milestone variance from SPM, open risk count from the risk register, SLA compliance from ITSM. When a sponsor asks 'how are we doing?' the answer is a live URL, not a PowerPoint exported last Thursday.</w:t>
      </w:r>
    </w:p>
    <w:p>
      <w:pPr>
        <w:spacing w:before="240" w:after="80"/>
      </w:pPr>
      <w:r>
        <w:rPr>
          <w:rFonts w:ascii="Arial" w:hAnsi="Arial"/>
          <w:b/>
          <w:color w:val="2E75B6"/>
          <w:sz w:val="24"/>
        </w:rPr>
        <w:t>2.3  The Customer Stakeholder Experience</w:t>
      </w:r>
    </w:p>
    <w:p>
      <w:pPr>
        <w:spacing w:before="0" w:after="160"/>
        <w:jc w:val="left"/>
      </w:pPr>
      <w:r>
        <w:rPr>
          <w:rFonts w:ascii="Arial" w:hAnsi="Arial"/>
          <w:b w:val="0"/>
          <w:i w:val="0"/>
          <w:color w:val="1F1F1F"/>
          <w:sz w:val="21"/>
        </w:rPr>
        <w:t>The customer project sponsor and process owners get portal-only access to a view designed for them. They see what is coming this sprint, what decisions they need to make, what the current health score is, and a summary of completed work. They do not see consultant internal notes, tooling configuration, or anything that is not relevant to their role. This level of transparency builds trust and reduces the noise of weekly status emails.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FEF9EC"/>
          </w:tcPr>
          <w:p>
            <w:pPr>
              <w:spacing w:before="120" w:after="40"/>
              <w:ind w:left="144"/>
            </w:pPr>
            <w:r>
              <w:rPr>
                <w:rFonts w:ascii="Arial" w:hAnsi="Arial"/>
                <w:b/>
                <w:color w:val="C9A02B"/>
                <w:sz w:val="20"/>
              </w:rPr>
              <w:t xml:space="preserve">What replaces the spreadsheets:  </w:t>
            </w:r>
            <w:r>
              <w:rPr>
                <w:rFonts w:ascii="Arial" w:hAnsi="Arial"/>
                <w:color w:val="1F1F1F"/>
                <w:sz w:val="20"/>
              </w:rPr>
              <w:t>Sprint health trackers become PA dashboards reading from Agile sprint records. Risk logs become structured Risk/Issue records with workflow. Decision trackers become Decision records tied to sprint gates. Project milestone trackers become SPM milestone views. None of these require manual updates — they derive from work already being done in the platform.</w:t>
            </w:r>
          </w:p>
          <w:p>
            <w:pPr>
              <w:spacing w:after="120"/>
            </w:pPr>
          </w:p>
        </w:tc>
      </w:tr>
    </w:tbl>
    <w:p>
      <w:pPr>
        <w:spacing w:after="80"/>
      </w:pPr>
    </w:p>
    <w:p>
      <w:r>
        <w:br w:type="page"/>
      </w:r>
    </w:p>
    <w:p>
      <w:pPr>
        <w:spacing w:before="360" w:after="120"/>
        <w:pBdr>
          <w:bottom w:val="single" w:sz="6" w:space="1" w:color="1B3A6B"/>
        </w:pBdr>
      </w:pPr>
      <w:r>
        <w:rPr>
          <w:rFonts w:ascii="Arial" w:hAnsi="Arial"/>
          <w:b/>
          <w:color w:val="1B3A6B"/>
          <w:sz w:val="28"/>
        </w:rPr>
        <w:t>3. APPLICATION ARCHITECTURE OVERVIEW</w:t>
      </w:r>
    </w:p>
    <w:p>
      <w:pPr>
        <w:spacing w:before="0" w:after="160"/>
        <w:jc w:val="left"/>
      </w:pPr>
      <w:r>
        <w:rPr>
          <w:rFonts w:ascii="Arial" w:hAnsi="Arial"/>
          <w:b w:val="0"/>
          <w:i w:val="0"/>
          <w:color w:val="1F1F1F"/>
          <w:sz w:val="21"/>
        </w:rPr>
        <w:t>The application is built as a ServiceNow scoped application using standard Studio-based development. It is self-contained within its own application scope, which means it can be packaged as an update set and installed on any customer instance without polluting the global scope. The architecture has four layers.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016"/>
            <w:shd w:val="clear" w:color="auto" w:fill="1B3A6B"/>
          </w:tcPr>
          <w:p>
            <w:pPr>
              <w:spacing w:before="80" w:after="80"/>
              <w:ind w:left="72"/>
            </w:pPr>
            <w:r>
              <w:rPr>
                <w:rFonts w:ascii="Arial" w:hAnsi="Arial"/>
                <w:b/>
                <w:color w:val="FFFFFF"/>
                <w:sz w:val="20"/>
              </w:rPr>
              <w:t>Layer</w:t>
            </w:r>
          </w:p>
        </w:tc>
        <w:tc>
          <w:tcPr>
            <w:tcW w:type="dxa" w:w="3888"/>
            <w:shd w:val="clear" w:color="auto" w:fill="1B3A6B"/>
          </w:tcPr>
          <w:p>
            <w:pPr>
              <w:spacing w:before="80" w:after="80"/>
              <w:ind w:left="72"/>
            </w:pPr>
            <w:r>
              <w:rPr>
                <w:rFonts w:ascii="Arial" w:hAnsi="Arial"/>
                <w:b/>
                <w:color w:val="FFFFFF"/>
                <w:sz w:val="20"/>
              </w:rPr>
              <w:t>What It Contains</w:t>
            </w:r>
          </w:p>
        </w:tc>
        <w:tc>
          <w:tcPr>
            <w:tcW w:type="dxa" w:w="3456"/>
            <w:shd w:val="clear" w:color="auto" w:fill="1B3A6B"/>
          </w:tcPr>
          <w:p>
            <w:pPr>
              <w:spacing w:before="80" w:after="80"/>
              <w:ind w:left="72"/>
            </w:pPr>
            <w:r>
              <w:rPr>
                <w:rFonts w:ascii="Arial" w:hAnsi="Arial"/>
                <w:b/>
                <w:color w:val="FFFFFF"/>
                <w:sz w:val="20"/>
              </w:rPr>
              <w:t>ServiceNow Technology</w:t>
            </w:r>
          </w:p>
        </w:tc>
      </w:tr>
      <w:tr>
        <w:tc>
          <w:tcPr>
            <w:tcW w:type="dxa" w:w="2016"/>
            <w:shd w:val="clear" w:color="auto" w:fill="F2F2F2"/>
          </w:tcPr>
          <w:p>
            <w:pPr>
              <w:spacing w:before="60" w:after="60"/>
              <w:ind w:left="72"/>
            </w:pPr>
            <w:r>
              <w:rPr>
                <w:rFonts w:ascii="Arial" w:hAnsi="Arial"/>
                <w:color w:val="1F1F1F"/>
                <w:sz w:val="19"/>
              </w:rPr>
              <w:t>Data Layer</w:t>
            </w:r>
          </w:p>
        </w:tc>
        <w:tc>
          <w:tcPr>
            <w:tcW w:type="dxa" w:w="3888"/>
            <w:shd w:val="clear" w:color="auto" w:fill="F2F2F2"/>
          </w:tcPr>
          <w:p>
            <w:pPr>
              <w:spacing w:before="60" w:after="60"/>
              <w:ind w:left="72"/>
            </w:pPr>
            <w:r>
              <w:rPr>
                <w:rFonts w:ascii="Arial" w:hAnsi="Arial"/>
                <w:color w:val="1F1F1F"/>
                <w:sz w:val="19"/>
              </w:rPr>
              <w:t>Engagement records, health metrics, risks, decisions, milestones, methodology content</w:t>
            </w:r>
          </w:p>
        </w:tc>
        <w:tc>
          <w:tcPr>
            <w:tcW w:type="dxa" w:w="3456"/>
            <w:shd w:val="clear" w:color="auto" w:fill="F2F2F2"/>
          </w:tcPr>
          <w:p>
            <w:pPr>
              <w:spacing w:before="60" w:after="60"/>
              <w:ind w:left="72"/>
            </w:pPr>
            <w:r>
              <w:rPr>
                <w:rFonts w:ascii="Arial" w:hAnsi="Arial"/>
                <w:color w:val="1F1F1F"/>
                <w:sz w:val="19"/>
              </w:rPr>
              <w:t>Custom scoped tables + extensions of native tables</w:t>
            </w:r>
          </w:p>
        </w:tc>
      </w:tr>
      <w:tr>
        <w:tc>
          <w:tcPr>
            <w:tcW w:type="dxa" w:w="2016"/>
            <w:shd w:val="clear" w:color="auto" w:fill="FFFFFF"/>
          </w:tcPr>
          <w:p>
            <w:pPr>
              <w:spacing w:before="60" w:after="60"/>
              <w:ind w:left="72"/>
            </w:pPr>
            <w:r>
              <w:rPr>
                <w:rFonts w:ascii="Arial" w:hAnsi="Arial"/>
                <w:color w:val="1F1F1F"/>
                <w:sz w:val="19"/>
              </w:rPr>
              <w:t>Integration Layer</w:t>
            </w:r>
          </w:p>
        </w:tc>
        <w:tc>
          <w:tcPr>
            <w:tcW w:type="dxa" w:w="3888"/>
            <w:shd w:val="clear" w:color="auto" w:fill="FFFFFF"/>
          </w:tcPr>
          <w:p>
            <w:pPr>
              <w:spacing w:before="60" w:after="60"/>
              <w:ind w:left="72"/>
            </w:pPr>
            <w:r>
              <w:rPr>
                <w:rFonts w:ascii="Arial" w:hAnsi="Arial"/>
                <w:color w:val="1F1F1F"/>
                <w:sz w:val="19"/>
              </w:rPr>
              <w:t>Real-time reads from Agile (stories/sprints), SPM (milestones/projects), ITSM, KB</w:t>
            </w:r>
          </w:p>
        </w:tc>
        <w:tc>
          <w:tcPr>
            <w:tcW w:type="dxa" w:w="3456"/>
            <w:shd w:val="clear" w:color="auto" w:fill="FFFFFF"/>
          </w:tcPr>
          <w:p>
            <w:pPr>
              <w:spacing w:before="60" w:after="60"/>
              <w:ind w:left="72"/>
            </w:pPr>
            <w:r>
              <w:rPr>
                <w:rFonts w:ascii="Arial" w:hAnsi="Arial"/>
                <w:color w:val="1F1F1F"/>
                <w:sz w:val="19"/>
              </w:rPr>
              <w:t>GlideRecord queries, Table API, PA data sources</w:t>
            </w:r>
          </w:p>
        </w:tc>
      </w:tr>
      <w:tr>
        <w:tc>
          <w:tcPr>
            <w:tcW w:type="dxa" w:w="2016"/>
            <w:shd w:val="clear" w:color="auto" w:fill="F2F2F2"/>
          </w:tcPr>
          <w:p>
            <w:pPr>
              <w:spacing w:before="60" w:after="60"/>
              <w:ind w:left="72"/>
            </w:pPr>
            <w:r>
              <w:rPr>
                <w:rFonts w:ascii="Arial" w:hAnsi="Arial"/>
                <w:color w:val="1F1F1F"/>
                <w:sz w:val="19"/>
              </w:rPr>
              <w:t>Logic Layer</w:t>
            </w:r>
          </w:p>
        </w:tc>
        <w:tc>
          <w:tcPr>
            <w:tcW w:type="dxa" w:w="3888"/>
            <w:shd w:val="clear" w:color="auto" w:fill="F2F2F2"/>
          </w:tcPr>
          <w:p>
            <w:pPr>
              <w:spacing w:before="60" w:after="60"/>
              <w:ind w:left="72"/>
            </w:pPr>
            <w:r>
              <w:rPr>
                <w:rFonts w:ascii="Arial" w:hAnsi="Arial"/>
                <w:color w:val="1F1F1F"/>
                <w:sz w:val="19"/>
              </w:rPr>
              <w:t>Health scoring engine, gate pass/fail logic, escalation rules, notification triggers</w:t>
            </w:r>
          </w:p>
        </w:tc>
        <w:tc>
          <w:tcPr>
            <w:tcW w:type="dxa" w:w="3456"/>
            <w:shd w:val="clear" w:color="auto" w:fill="F2F2F2"/>
          </w:tcPr>
          <w:p>
            <w:pPr>
              <w:spacing w:before="60" w:after="60"/>
              <w:ind w:left="72"/>
            </w:pPr>
            <w:r>
              <w:rPr>
                <w:rFonts w:ascii="Arial" w:hAnsi="Arial"/>
                <w:color w:val="1F1F1F"/>
                <w:sz w:val="19"/>
              </w:rPr>
              <w:t>Business Rules, Flow Designer, Scheduled Jobs</w:t>
            </w:r>
          </w:p>
        </w:tc>
      </w:tr>
      <w:tr>
        <w:tc>
          <w:tcPr>
            <w:tcW w:type="dxa" w:w="2016"/>
            <w:shd w:val="clear" w:color="auto" w:fill="FFFFFF"/>
          </w:tcPr>
          <w:p>
            <w:pPr>
              <w:spacing w:before="60" w:after="60"/>
              <w:ind w:left="72"/>
            </w:pPr>
            <w:r>
              <w:rPr>
                <w:rFonts w:ascii="Arial" w:hAnsi="Arial"/>
                <w:color w:val="1F1F1F"/>
                <w:sz w:val="19"/>
              </w:rPr>
              <w:t>Presentation Layer</w:t>
            </w:r>
          </w:p>
        </w:tc>
        <w:tc>
          <w:tcPr>
            <w:tcW w:type="dxa" w:w="3888"/>
            <w:shd w:val="clear" w:color="auto" w:fill="FFFFFF"/>
          </w:tcPr>
          <w:p>
            <w:pPr>
              <w:spacing w:before="60" w:after="60"/>
              <w:ind w:left="72"/>
            </w:pPr>
            <w:r>
              <w:rPr>
                <w:rFonts w:ascii="Arial" w:hAnsi="Arial"/>
                <w:color w:val="1F1F1F"/>
                <w:sz w:val="19"/>
              </w:rPr>
              <w:t>Role-based Service Portal pages, PA dashboards, Virtual Agent topics</w:t>
            </w:r>
          </w:p>
        </w:tc>
        <w:tc>
          <w:tcPr>
            <w:tcW w:type="dxa" w:w="3456"/>
            <w:shd w:val="clear" w:color="auto" w:fill="FFFFFF"/>
          </w:tcPr>
          <w:p>
            <w:pPr>
              <w:spacing w:before="60" w:after="60"/>
              <w:ind w:left="72"/>
            </w:pPr>
            <w:r>
              <w:rPr>
                <w:rFonts w:ascii="Arial" w:hAnsi="Arial"/>
                <w:color w:val="1F1F1F"/>
                <w:sz w:val="19"/>
              </w:rPr>
              <w:t>Service Portal, Performance Analytics, NLU/VA</w:t>
            </w:r>
          </w:p>
        </w:tc>
      </w:tr>
    </w:tbl>
    <w:p>
      <w:pPr>
        <w:spacing w:after="120"/>
      </w:pPr>
    </w:p>
    <w:p>
      <w:pPr>
        <w:spacing w:before="240" w:after="80"/>
      </w:pPr>
      <w:r>
        <w:rPr>
          <w:rFonts w:ascii="Arial" w:hAnsi="Arial"/>
          <w:b/>
          <w:color w:val="2E75B6"/>
          <w:sz w:val="24"/>
        </w:rPr>
        <w:t>3.1  Scoped Application Identity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2880"/>
            <w:shd w:val="clear" w:color="auto" w:fill="1B3A6B"/>
          </w:tcPr>
          <w:p>
            <w:pPr>
              <w:spacing w:before="80" w:after="80"/>
              <w:ind w:left="72"/>
            </w:pPr>
            <w:r>
              <w:rPr>
                <w:rFonts w:ascii="Arial" w:hAnsi="Arial"/>
                <w:b/>
                <w:color w:val="FFFFFF"/>
                <w:sz w:val="20"/>
              </w:rPr>
              <w:t>Property</w:t>
            </w:r>
          </w:p>
        </w:tc>
        <w:tc>
          <w:tcPr>
            <w:tcW w:type="dxa" w:w="6480"/>
            <w:shd w:val="clear" w:color="auto" w:fill="1B3A6B"/>
          </w:tcPr>
          <w:p>
            <w:pPr>
              <w:spacing w:before="80" w:after="80"/>
              <w:ind w:left="72"/>
            </w:pPr>
            <w:r>
              <w:rPr>
                <w:rFonts w:ascii="Arial" w:hAnsi="Arial"/>
                <w:b/>
                <w:color w:val="FFFFFF"/>
                <w:sz w:val="20"/>
              </w:rPr>
              <w:t>Value</w:t>
            </w:r>
          </w:p>
        </w:tc>
      </w:tr>
      <w:tr>
        <w:tc>
          <w:tcPr>
            <w:tcW w:type="dxa" w:w="2880"/>
            <w:shd w:val="clear" w:color="auto" w:fill="F2F2F2"/>
          </w:tcPr>
          <w:p>
            <w:pPr>
              <w:spacing w:before="60" w:after="60"/>
              <w:ind w:left="72"/>
            </w:pPr>
            <w:r>
              <w:rPr>
                <w:rFonts w:ascii="Arial" w:hAnsi="Arial"/>
                <w:color w:val="1F1F1F"/>
                <w:sz w:val="19"/>
              </w:rPr>
              <w:t>Application Name</w:t>
            </w:r>
          </w:p>
        </w:tc>
        <w:tc>
          <w:tcPr>
            <w:tcW w:type="dxa" w:w="6480"/>
            <w:shd w:val="clear" w:color="auto" w:fill="F2F2F2"/>
          </w:tcPr>
          <w:p>
            <w:pPr>
              <w:spacing w:before="60" w:after="60"/>
              <w:ind w:left="72"/>
            </w:pPr>
            <w:r>
              <w:rPr>
                <w:rFonts w:ascii="Arial" w:hAnsi="Arial"/>
                <w:color w:val="1F1F1F"/>
                <w:sz w:val="19"/>
              </w:rPr>
              <w:t>ECS Delivery Intelligence Platform</w:t>
            </w:r>
          </w:p>
        </w:tc>
      </w:tr>
      <w:tr>
        <w:tc>
          <w:tcPr>
            <w:tcW w:type="dxa" w:w="2880"/>
            <w:shd w:val="clear" w:color="auto" w:fill="FFFFFF"/>
          </w:tcPr>
          <w:p>
            <w:pPr>
              <w:spacing w:before="60" w:after="60"/>
              <w:ind w:left="72"/>
            </w:pPr>
            <w:r>
              <w:rPr>
                <w:rFonts w:ascii="Arial" w:hAnsi="Arial"/>
                <w:color w:val="1F1F1F"/>
                <w:sz w:val="19"/>
              </w:rPr>
              <w:t>Application Scope</w:t>
            </w:r>
          </w:p>
        </w:tc>
        <w:tc>
          <w:tcPr>
            <w:tcW w:type="dxa" w:w="6480"/>
            <w:shd w:val="clear" w:color="auto" w:fill="FFFFFF"/>
          </w:tcPr>
          <w:p>
            <w:pPr>
              <w:spacing w:before="60" w:after="60"/>
              <w:ind w:left="72"/>
            </w:pPr>
            <w:r>
              <w:rPr>
                <w:rFonts w:ascii="Arial" w:hAnsi="Arial"/>
                <w:color w:val="1F1F1F"/>
                <w:sz w:val="19"/>
              </w:rPr>
              <w:t>x_everforth_ecs_dip</w:t>
            </w:r>
          </w:p>
        </w:tc>
      </w:tr>
      <w:tr>
        <w:tc>
          <w:tcPr>
            <w:tcW w:type="dxa" w:w="2880"/>
            <w:shd w:val="clear" w:color="auto" w:fill="F2F2F2"/>
          </w:tcPr>
          <w:p>
            <w:pPr>
              <w:spacing w:before="60" w:after="60"/>
              <w:ind w:left="72"/>
            </w:pPr>
            <w:r>
              <w:rPr>
                <w:rFonts w:ascii="Arial" w:hAnsi="Arial"/>
                <w:color w:val="1F1F1F"/>
                <w:sz w:val="19"/>
              </w:rPr>
              <w:t>Vendor</w:t>
            </w:r>
          </w:p>
        </w:tc>
        <w:tc>
          <w:tcPr>
            <w:tcW w:type="dxa" w:w="6480"/>
            <w:shd w:val="clear" w:color="auto" w:fill="F2F2F2"/>
          </w:tcPr>
          <w:p>
            <w:pPr>
              <w:spacing w:before="60" w:after="60"/>
              <w:ind w:left="72"/>
            </w:pPr>
            <w:r>
              <w:rPr>
                <w:rFonts w:ascii="Arial" w:hAnsi="Arial"/>
                <w:color w:val="1F1F1F"/>
                <w:sz w:val="19"/>
              </w:rPr>
              <w:t>Everforth</w:t>
            </w:r>
          </w:p>
        </w:tc>
      </w:tr>
      <w:tr>
        <w:tc>
          <w:tcPr>
            <w:tcW w:type="dxa" w:w="2880"/>
            <w:shd w:val="clear" w:color="auto" w:fill="FFFFFF"/>
          </w:tcPr>
          <w:p>
            <w:pPr>
              <w:spacing w:before="60" w:after="60"/>
              <w:ind w:left="72"/>
            </w:pPr>
            <w:r>
              <w:rPr>
                <w:rFonts w:ascii="Arial" w:hAnsi="Arial"/>
                <w:color w:val="1F1F1F"/>
                <w:sz w:val="19"/>
              </w:rPr>
              <w:t>Version</w:t>
            </w:r>
          </w:p>
        </w:tc>
        <w:tc>
          <w:tcPr>
            <w:tcW w:type="dxa" w:w="6480"/>
            <w:shd w:val="clear" w:color="auto" w:fill="FFFFFF"/>
          </w:tcPr>
          <w:p>
            <w:pPr>
              <w:spacing w:before="60" w:after="60"/>
              <w:ind w:left="72"/>
            </w:pPr>
            <w:r>
              <w:rPr>
                <w:rFonts w:ascii="Arial" w:hAnsi="Arial"/>
                <w:color w:val="1F1F1F"/>
                <w:sz w:val="19"/>
              </w:rPr>
              <w:t>1.0.0 (initial engagement deliverable)</w:t>
            </w:r>
          </w:p>
        </w:tc>
      </w:tr>
      <w:tr>
        <w:tc>
          <w:tcPr>
            <w:tcW w:type="dxa" w:w="2880"/>
            <w:shd w:val="clear" w:color="auto" w:fill="F2F2F2"/>
          </w:tcPr>
          <w:p>
            <w:pPr>
              <w:spacing w:before="60" w:after="60"/>
              <w:ind w:left="72"/>
            </w:pPr>
            <w:r>
              <w:rPr>
                <w:rFonts w:ascii="Arial" w:hAnsi="Arial"/>
                <w:color w:val="1F1F1F"/>
                <w:sz w:val="19"/>
              </w:rPr>
              <w:t>Deployment Method</w:t>
            </w:r>
          </w:p>
        </w:tc>
        <w:tc>
          <w:tcPr>
            <w:tcW w:type="dxa" w:w="6480"/>
            <w:shd w:val="clear" w:color="auto" w:fill="F2F2F2"/>
          </w:tcPr>
          <w:p>
            <w:pPr>
              <w:spacing w:before="60" w:after="60"/>
              <w:ind w:left="72"/>
            </w:pPr>
            <w:r>
              <w:rPr>
                <w:rFonts w:ascii="Arial" w:hAnsi="Arial"/>
                <w:color w:val="1F1F1F"/>
                <w:sz w:val="19"/>
              </w:rPr>
              <w:t>Update Set or ServiceNow Store (ISV path)</w:t>
            </w:r>
          </w:p>
        </w:tc>
      </w:tr>
      <w:tr>
        <w:tc>
          <w:tcPr>
            <w:tcW w:type="dxa" w:w="2880"/>
            <w:shd w:val="clear" w:color="auto" w:fill="FFFFFF"/>
          </w:tcPr>
          <w:p>
            <w:pPr>
              <w:spacing w:before="60" w:after="60"/>
              <w:ind w:left="72"/>
            </w:pPr>
            <w:r>
              <w:rPr>
                <w:rFonts w:ascii="Arial" w:hAnsi="Arial"/>
                <w:color w:val="1F1F1F"/>
                <w:sz w:val="19"/>
              </w:rPr>
              <w:t>Target Instance</w:t>
            </w:r>
          </w:p>
        </w:tc>
        <w:tc>
          <w:tcPr>
            <w:tcW w:type="dxa" w:w="6480"/>
            <w:shd w:val="clear" w:color="auto" w:fill="FFFFFF"/>
          </w:tcPr>
          <w:p>
            <w:pPr>
              <w:spacing w:before="60" w:after="60"/>
              <w:ind w:left="72"/>
            </w:pPr>
            <w:r>
              <w:rPr>
                <w:rFonts w:ascii="Arial" w:hAnsi="Arial"/>
                <w:color w:val="1F1F1F"/>
                <w:sz w:val="19"/>
              </w:rPr>
              <w:t>Customer instance — installed per engagement</w:t>
            </w:r>
          </w:p>
        </w:tc>
      </w:tr>
      <w:tr>
        <w:tc>
          <w:tcPr>
            <w:tcW w:type="dxa" w:w="2880"/>
            <w:shd w:val="clear" w:color="auto" w:fill="F2F2F2"/>
          </w:tcPr>
          <w:p>
            <w:pPr>
              <w:spacing w:before="60" w:after="60"/>
              <w:ind w:left="72"/>
            </w:pPr>
            <w:r>
              <w:rPr>
                <w:rFonts w:ascii="Arial" w:hAnsi="Arial"/>
                <w:color w:val="1F1F1F"/>
                <w:sz w:val="19"/>
              </w:rPr>
              <w:t>Access Model</w:t>
            </w:r>
          </w:p>
        </w:tc>
        <w:tc>
          <w:tcPr>
            <w:tcW w:type="dxa" w:w="6480"/>
            <w:shd w:val="clear" w:color="auto" w:fill="F2F2F2"/>
          </w:tcPr>
          <w:p>
            <w:pPr>
              <w:spacing w:before="60" w:after="60"/>
              <w:ind w:left="72"/>
            </w:pPr>
            <w:r>
              <w:rPr>
                <w:rFonts w:ascii="Arial" w:hAnsi="Arial"/>
                <w:color w:val="1F1F1F"/>
                <w:sz w:val="19"/>
              </w:rPr>
              <w:t>Role-based: ecs_consultant, ecs_delivery_mgr, ecs_customer_viewer</w:t>
            </w:r>
          </w:p>
        </w:tc>
      </w:tr>
    </w:tbl>
    <w:p>
      <w:pPr>
        <w:spacing w:after="120"/>
      </w:pPr>
    </w:p>
    <w:p>
      <w:pPr>
        <w:spacing w:before="240" w:after="80"/>
      </w:pPr>
      <w:r>
        <w:rPr>
          <w:rFonts w:ascii="Arial" w:hAnsi="Arial"/>
          <w:b/>
          <w:color w:val="2E75B6"/>
          <w:sz w:val="24"/>
        </w:rPr>
        <w:t>3.2  Key Design Principles</w:t>
      </w:r>
    </w:p>
    <w:p>
      <w:pPr>
        <w:pStyle w:val="ListBullet"/>
        <w:spacing w:after="60"/>
        <w:ind w:left="360"/>
      </w:pPr>
      <w:r>
        <w:rPr>
          <w:rFonts w:ascii="Arial" w:hAnsi="Arial"/>
          <w:color w:val="1F1F1F"/>
          <w:sz w:val="21"/>
        </w:rPr>
        <w:t>Platform-native: use ServiceNow capabilities first, custom code only when necessary</w:t>
      </w:r>
    </w:p>
    <w:p>
      <w:pPr>
        <w:pStyle w:val="ListBullet"/>
        <w:spacing w:after="60"/>
        <w:ind w:left="360"/>
      </w:pPr>
      <w:r>
        <w:rPr>
          <w:rFonts w:ascii="Arial" w:hAnsi="Arial"/>
          <w:color w:val="1F1F1F"/>
          <w:sz w:val="21"/>
        </w:rPr>
        <w:t>Record-driven: every status, health metric, and decision is a record, not a cell in a spreadsheet</w:t>
      </w:r>
    </w:p>
    <w:p>
      <w:pPr>
        <w:pStyle w:val="ListBullet"/>
        <w:spacing w:after="60"/>
        <w:ind w:left="360"/>
      </w:pPr>
      <w:r>
        <w:rPr>
          <w:rFonts w:ascii="Arial" w:hAnsi="Arial"/>
          <w:color w:val="1F1F1F"/>
          <w:sz w:val="21"/>
        </w:rPr>
        <w:t>Role-aware: every view is filtered and scoped to the logged-in user's role and engagement</w:t>
      </w:r>
    </w:p>
    <w:p>
      <w:pPr>
        <w:pStyle w:val="ListBullet"/>
        <w:spacing w:after="60"/>
        <w:ind w:left="360"/>
      </w:pPr>
      <w:r>
        <w:rPr>
          <w:rFonts w:ascii="Arial" w:hAnsi="Arial"/>
          <w:color w:val="1F1F1F"/>
          <w:sz w:val="21"/>
        </w:rPr>
        <w:t>Portable: the app installs on any instance with no external dependencies</w:t>
      </w:r>
    </w:p>
    <w:p>
      <w:pPr>
        <w:pStyle w:val="ListBullet"/>
        <w:spacing w:after="60"/>
        <w:ind w:left="360"/>
      </w:pPr>
      <w:r>
        <w:rPr>
          <w:rFonts w:ascii="Arial" w:hAnsi="Arial"/>
          <w:color w:val="1F1F1F"/>
          <w:sz w:val="21"/>
        </w:rPr>
        <w:t>Auditable: all state changes are tracked in the ServiceNow audit log automatically</w:t>
      </w:r>
    </w:p>
    <w:p>
      <w:pPr>
        <w:pStyle w:val="ListBullet"/>
        <w:spacing w:after="60"/>
        <w:ind w:left="360"/>
      </w:pPr>
      <w:r>
        <w:rPr>
          <w:rFonts w:ascii="Arial" w:hAnsi="Arial"/>
          <w:color w:val="1F1F1F"/>
          <w:sz w:val="21"/>
        </w:rPr>
        <w:t>Extensible: new workstreams (HAM, SAM, CMDB) can be added as configuration, not code changes</w:t>
      </w:r>
    </w:p>
    <w:p>
      <w:r>
        <w:br w:type="page"/>
      </w:r>
    </w:p>
    <w:p>
      <w:pPr>
        <w:spacing w:before="360" w:after="120"/>
        <w:pBdr>
          <w:bottom w:val="single" w:sz="6" w:space="1" w:color="1B3A6B"/>
        </w:pBdr>
      </w:pPr>
      <w:r>
        <w:rPr>
          <w:rFonts w:ascii="Arial" w:hAnsi="Arial"/>
          <w:b/>
          <w:color w:val="1B3A6B"/>
          <w:sz w:val="28"/>
        </w:rPr>
        <w:t>4. CUSTOM DATA MODEL</w:t>
      </w:r>
    </w:p>
    <w:p>
      <w:pPr>
        <w:spacing w:before="0" w:after="200"/>
        <w:jc w:val="left"/>
      </w:pPr>
      <w:r>
        <w:rPr>
          <w:rFonts w:ascii="Arial" w:hAnsi="Arial"/>
          <w:b w:val="0"/>
          <w:i w:val="0"/>
          <w:color w:val="1F1F1F"/>
          <w:sz w:val="21"/>
        </w:rPr>
        <w:t>The following custom tables form the core data layer. All are created within the x_everforth_ecs_dip application scope. Each table uses ServiceNow's standard audit, ACL, and workflow capabilities automatically.</w:t>
      </w:r>
    </w:p>
    <w:p>
      <w:pPr>
        <w:spacing w:before="240" w:after="80"/>
      </w:pPr>
      <w:r>
        <w:rPr>
          <w:rFonts w:ascii="Arial" w:hAnsi="Arial"/>
          <w:b/>
          <w:color w:val="2E75B6"/>
          <w:sz w:val="24"/>
        </w:rPr>
        <w:t>4.1  Core Custom Tables</w:t>
      </w:r>
    </w:p>
    <w:p>
      <w:pPr>
        <w:spacing w:before="160" w:after="60"/>
      </w:pPr>
      <w:r>
        <w:rPr>
          <w:rFonts w:ascii="Arial" w:hAnsi="Arial"/>
          <w:b/>
          <w:color w:val="1B3A6B"/>
          <w:sz w:val="22"/>
        </w:rPr>
        <w:t>ECS Engagement  [x_everforth_ecs_dip_engagement]</w:t>
      </w:r>
    </w:p>
    <w:p>
      <w:pPr>
        <w:spacing w:before="0" w:after="80"/>
        <w:jc w:val="left"/>
      </w:pPr>
      <w:r>
        <w:rPr>
          <w:rFonts w:ascii="Arial" w:hAnsi="Arial"/>
          <w:b w:val="0"/>
          <w:i w:val="0"/>
          <w:color w:val="1F1F1F"/>
          <w:sz w:val="20"/>
        </w:rPr>
        <w:t>The master record for each customer engagement. One per implementation. All other records relate back to this.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448"/>
            <w:shd w:val="clear" w:color="auto" w:fill="1B3A6B"/>
          </w:tcPr>
          <w:p>
            <w:pPr>
              <w:spacing w:before="80" w:after="80"/>
              <w:ind w:left="72"/>
            </w:pPr>
            <w:r>
              <w:rPr>
                <w:rFonts w:ascii="Arial" w:hAnsi="Arial"/>
                <w:b/>
                <w:color w:val="FFFFFF"/>
                <w:sz w:val="20"/>
              </w:rPr>
              <w:t>Field</w:t>
            </w:r>
          </w:p>
        </w:tc>
        <w:tc>
          <w:tcPr>
            <w:tcW w:type="dxa" w:w="2016"/>
            <w:shd w:val="clear" w:color="auto" w:fill="1B3A6B"/>
          </w:tcPr>
          <w:p>
            <w:pPr>
              <w:spacing w:before="80" w:after="80"/>
              <w:ind w:left="72"/>
            </w:pPr>
            <w:r>
              <w:rPr>
                <w:rFonts w:ascii="Arial" w:hAnsi="Arial"/>
                <w:b/>
                <w:color w:val="FFFFFF"/>
                <w:sz w:val="20"/>
              </w:rPr>
              <w:t>Type</w:t>
            </w:r>
          </w:p>
        </w:tc>
        <w:tc>
          <w:tcPr>
            <w:tcW w:type="dxa" w:w="4896"/>
            <w:shd w:val="clear" w:color="auto" w:fill="1B3A6B"/>
          </w:tcPr>
          <w:p>
            <w:pPr>
              <w:spacing w:before="80" w:after="80"/>
              <w:ind w:left="72"/>
            </w:pPr>
            <w:r>
              <w:rPr>
                <w:rFonts w:ascii="Arial" w:hAnsi="Arial"/>
                <w:b/>
                <w:color w:val="FFFFFF"/>
                <w:sz w:val="20"/>
              </w:rPr>
              <w:t>Purpose</w:t>
            </w:r>
          </w:p>
        </w:tc>
      </w:tr>
      <w:tr>
        <w:tc>
          <w:tcPr>
            <w:tcW w:type="dxa" w:w="2448"/>
            <w:shd w:val="clear" w:color="auto" w:fill="F2F2F2"/>
          </w:tcPr>
          <w:p>
            <w:pPr>
              <w:spacing w:before="60" w:after="60"/>
              <w:ind w:left="72"/>
            </w:pPr>
            <w:r>
              <w:rPr>
                <w:rFonts w:ascii="Arial" w:hAnsi="Arial"/>
                <w:color w:val="1F1F1F"/>
                <w:sz w:val="19"/>
              </w:rPr>
              <w:t>Engagement Name</w:t>
            </w:r>
          </w:p>
        </w:tc>
        <w:tc>
          <w:tcPr>
            <w:tcW w:type="dxa" w:w="2016"/>
            <w:shd w:val="clear" w:color="auto" w:fill="F2F2F2"/>
          </w:tcPr>
          <w:p>
            <w:pPr>
              <w:spacing w:before="60" w:after="60"/>
              <w:ind w:left="72"/>
            </w:pPr>
            <w:r>
              <w:rPr>
                <w:rFonts w:ascii="Arial" w:hAnsi="Arial"/>
                <w:color w:val="1F1F1F"/>
                <w:sz w:val="19"/>
              </w:rPr>
              <w:t>String</w:t>
            </w:r>
          </w:p>
        </w:tc>
        <w:tc>
          <w:tcPr>
            <w:tcW w:type="dxa" w:w="4896"/>
            <w:shd w:val="clear" w:color="auto" w:fill="F2F2F2"/>
          </w:tcPr>
          <w:p>
            <w:pPr>
              <w:spacing w:before="60" w:after="60"/>
              <w:ind w:left="72"/>
            </w:pPr>
            <w:r>
              <w:rPr>
                <w:rFonts w:ascii="Arial" w:hAnsi="Arial"/>
                <w:color w:val="1F1F1F"/>
                <w:sz w:val="19"/>
              </w:rPr>
              <w:t>Customer name + engagement identifier</w:t>
            </w:r>
          </w:p>
        </w:tc>
      </w:tr>
      <w:tr>
        <w:tc>
          <w:tcPr>
            <w:tcW w:type="dxa" w:w="2448"/>
            <w:shd w:val="clear" w:color="auto" w:fill="FFFFFF"/>
          </w:tcPr>
          <w:p>
            <w:pPr>
              <w:spacing w:before="60" w:after="60"/>
              <w:ind w:left="72"/>
            </w:pPr>
            <w:r>
              <w:rPr>
                <w:rFonts w:ascii="Arial" w:hAnsi="Arial"/>
                <w:color w:val="1F1F1F"/>
                <w:sz w:val="19"/>
              </w:rPr>
              <w:t>Customer Account</w:t>
            </w:r>
          </w:p>
        </w:tc>
        <w:tc>
          <w:tcPr>
            <w:tcW w:type="dxa" w:w="2016"/>
            <w:shd w:val="clear" w:color="auto" w:fill="FFFFFF"/>
          </w:tcPr>
          <w:p>
            <w:pPr>
              <w:spacing w:before="60" w:after="60"/>
              <w:ind w:left="72"/>
            </w:pPr>
            <w:r>
              <w:rPr>
                <w:rFonts w:ascii="Arial" w:hAnsi="Arial"/>
                <w:color w:val="1F1F1F"/>
                <w:sz w:val="19"/>
              </w:rPr>
              <w:t>Reference → Account</w:t>
            </w:r>
          </w:p>
        </w:tc>
        <w:tc>
          <w:tcPr>
            <w:tcW w:type="dxa" w:w="4896"/>
            <w:shd w:val="clear" w:color="auto" w:fill="FFFFFF"/>
          </w:tcPr>
          <w:p>
            <w:pPr>
              <w:spacing w:before="60" w:after="60"/>
              <w:ind w:left="72"/>
            </w:pPr>
            <w:r>
              <w:rPr>
                <w:rFonts w:ascii="Arial" w:hAnsi="Arial"/>
                <w:color w:val="1F1F1F"/>
                <w:sz w:val="19"/>
              </w:rPr>
              <w:t>Links to CRM/customer record</w:t>
            </w:r>
          </w:p>
        </w:tc>
      </w:tr>
      <w:tr>
        <w:tc>
          <w:tcPr>
            <w:tcW w:type="dxa" w:w="2448"/>
            <w:shd w:val="clear" w:color="auto" w:fill="F2F2F2"/>
          </w:tcPr>
          <w:p>
            <w:pPr>
              <w:spacing w:before="60" w:after="60"/>
              <w:ind w:left="72"/>
            </w:pPr>
            <w:r>
              <w:rPr>
                <w:rFonts w:ascii="Arial" w:hAnsi="Arial"/>
                <w:color w:val="1F1F1F"/>
                <w:sz w:val="19"/>
              </w:rPr>
              <w:t>Start Date</w:t>
            </w:r>
          </w:p>
        </w:tc>
        <w:tc>
          <w:tcPr>
            <w:tcW w:type="dxa" w:w="2016"/>
            <w:shd w:val="clear" w:color="auto" w:fill="F2F2F2"/>
          </w:tcPr>
          <w:p>
            <w:pPr>
              <w:spacing w:before="60" w:after="60"/>
              <w:ind w:left="72"/>
            </w:pPr>
            <w:r>
              <w:rPr>
                <w:rFonts w:ascii="Arial" w:hAnsi="Arial"/>
                <w:color w:val="1F1F1F"/>
                <w:sz w:val="19"/>
              </w:rPr>
              <w:t>Date</w:t>
            </w:r>
          </w:p>
        </w:tc>
        <w:tc>
          <w:tcPr>
            <w:tcW w:type="dxa" w:w="4896"/>
            <w:shd w:val="clear" w:color="auto" w:fill="F2F2F2"/>
          </w:tcPr>
          <w:p>
            <w:pPr>
              <w:spacing w:before="60" w:after="60"/>
              <w:ind w:left="72"/>
            </w:pPr>
            <w:r>
              <w:rPr>
                <w:rFonts w:ascii="Arial" w:hAnsi="Arial"/>
                <w:color w:val="1F1F1F"/>
                <w:sz w:val="19"/>
              </w:rPr>
              <w:t>Engagement kick-off date</w:t>
            </w:r>
          </w:p>
        </w:tc>
      </w:tr>
      <w:tr>
        <w:tc>
          <w:tcPr>
            <w:tcW w:type="dxa" w:w="2448"/>
            <w:shd w:val="clear" w:color="auto" w:fill="FFFFFF"/>
          </w:tcPr>
          <w:p>
            <w:pPr>
              <w:spacing w:before="60" w:after="60"/>
              <w:ind w:left="72"/>
            </w:pPr>
            <w:r>
              <w:rPr>
                <w:rFonts w:ascii="Arial" w:hAnsi="Arial"/>
                <w:color w:val="1F1F1F"/>
                <w:sz w:val="19"/>
              </w:rPr>
              <w:t>Target Go-Live</w:t>
            </w:r>
          </w:p>
        </w:tc>
        <w:tc>
          <w:tcPr>
            <w:tcW w:type="dxa" w:w="2016"/>
            <w:shd w:val="clear" w:color="auto" w:fill="FFFFFF"/>
          </w:tcPr>
          <w:p>
            <w:pPr>
              <w:spacing w:before="60" w:after="60"/>
              <w:ind w:left="72"/>
            </w:pPr>
            <w:r>
              <w:rPr>
                <w:rFonts w:ascii="Arial" w:hAnsi="Arial"/>
                <w:color w:val="1F1F1F"/>
                <w:sz w:val="19"/>
              </w:rPr>
              <w:t>Date</w:t>
            </w:r>
          </w:p>
        </w:tc>
        <w:tc>
          <w:tcPr>
            <w:tcW w:type="dxa" w:w="4896"/>
            <w:shd w:val="clear" w:color="auto" w:fill="FFFFFF"/>
          </w:tcPr>
          <w:p>
            <w:pPr>
              <w:spacing w:before="60" w:after="60"/>
              <w:ind w:left="72"/>
            </w:pPr>
            <w:r>
              <w:rPr>
                <w:rFonts w:ascii="Arial" w:hAnsi="Arial"/>
                <w:color w:val="1F1F1F"/>
                <w:sz w:val="19"/>
              </w:rPr>
              <w:t>Planned go-live date</w:t>
            </w:r>
          </w:p>
        </w:tc>
      </w:tr>
      <w:tr>
        <w:tc>
          <w:tcPr>
            <w:tcW w:type="dxa" w:w="2448"/>
            <w:shd w:val="clear" w:color="auto" w:fill="F2F2F2"/>
          </w:tcPr>
          <w:p>
            <w:pPr>
              <w:spacing w:before="60" w:after="60"/>
              <w:ind w:left="72"/>
            </w:pPr>
            <w:r>
              <w:rPr>
                <w:rFonts w:ascii="Arial" w:hAnsi="Arial"/>
                <w:color w:val="1F1F1F"/>
                <w:sz w:val="19"/>
              </w:rPr>
              <w:t>Current Phase</w:t>
            </w:r>
          </w:p>
        </w:tc>
        <w:tc>
          <w:tcPr>
            <w:tcW w:type="dxa" w:w="2016"/>
            <w:shd w:val="clear" w:color="auto" w:fill="F2F2F2"/>
          </w:tcPr>
          <w:p>
            <w:pPr>
              <w:spacing w:before="60" w:after="60"/>
              <w:ind w:left="72"/>
            </w:pPr>
            <w:r>
              <w:rPr>
                <w:rFonts w:ascii="Arial" w:hAnsi="Arial"/>
                <w:color w:val="1F1F1F"/>
                <w:sz w:val="19"/>
              </w:rPr>
              <w:t>Choice</w:t>
            </w:r>
          </w:p>
        </w:tc>
        <w:tc>
          <w:tcPr>
            <w:tcW w:type="dxa" w:w="4896"/>
            <w:shd w:val="clear" w:color="auto" w:fill="F2F2F2"/>
          </w:tcPr>
          <w:p>
            <w:pPr>
              <w:spacing w:before="60" w:after="60"/>
              <w:ind w:left="72"/>
            </w:pPr>
            <w:r>
              <w:rPr>
                <w:rFonts w:ascii="Arial" w:hAnsi="Arial"/>
                <w:color w:val="1F1F1F"/>
                <w:sz w:val="19"/>
              </w:rPr>
              <w:t>Sprint 0, Sprint 1–6, Hypercare</w:t>
            </w:r>
          </w:p>
        </w:tc>
      </w:tr>
      <w:tr>
        <w:tc>
          <w:tcPr>
            <w:tcW w:type="dxa" w:w="2448"/>
            <w:shd w:val="clear" w:color="auto" w:fill="FFFFFF"/>
          </w:tcPr>
          <w:p>
            <w:pPr>
              <w:spacing w:before="60" w:after="60"/>
              <w:ind w:left="72"/>
            </w:pPr>
            <w:r>
              <w:rPr>
                <w:rFonts w:ascii="Arial" w:hAnsi="Arial"/>
                <w:color w:val="1F1F1F"/>
                <w:sz w:val="19"/>
              </w:rPr>
              <w:t>Overall Health</w:t>
            </w:r>
          </w:p>
        </w:tc>
        <w:tc>
          <w:tcPr>
            <w:tcW w:type="dxa" w:w="2016"/>
            <w:shd w:val="clear" w:color="auto" w:fill="FFFFFF"/>
          </w:tcPr>
          <w:p>
            <w:pPr>
              <w:spacing w:before="60" w:after="60"/>
              <w:ind w:left="72"/>
            </w:pPr>
            <w:r>
              <w:rPr>
                <w:rFonts w:ascii="Arial" w:hAnsi="Arial"/>
                <w:color w:val="1F1F1F"/>
                <w:sz w:val="19"/>
              </w:rPr>
              <w:t>Calculated</w:t>
            </w:r>
          </w:p>
        </w:tc>
        <w:tc>
          <w:tcPr>
            <w:tcW w:type="dxa" w:w="4896"/>
            <w:shd w:val="clear" w:color="auto" w:fill="FFFFFF"/>
          </w:tcPr>
          <w:p>
            <w:pPr>
              <w:spacing w:before="60" w:after="60"/>
              <w:ind w:left="72"/>
            </w:pPr>
            <w:r>
              <w:rPr>
                <w:rFonts w:ascii="Arial" w:hAnsi="Arial"/>
                <w:color w:val="1F1F1F"/>
                <w:sz w:val="19"/>
              </w:rPr>
              <w:t>Derived: red/yellow/green from health score</w:t>
            </w:r>
          </w:p>
        </w:tc>
      </w:tr>
      <w:tr>
        <w:tc>
          <w:tcPr>
            <w:tcW w:type="dxa" w:w="2448"/>
            <w:shd w:val="clear" w:color="auto" w:fill="F2F2F2"/>
          </w:tcPr>
          <w:p>
            <w:pPr>
              <w:spacing w:before="60" w:after="60"/>
              <w:ind w:left="72"/>
            </w:pPr>
            <w:r>
              <w:rPr>
                <w:rFonts w:ascii="Arial" w:hAnsi="Arial"/>
                <w:color w:val="1F1F1F"/>
                <w:sz w:val="19"/>
              </w:rPr>
              <w:t>Health Score</w:t>
            </w:r>
          </w:p>
        </w:tc>
        <w:tc>
          <w:tcPr>
            <w:tcW w:type="dxa" w:w="2016"/>
            <w:shd w:val="clear" w:color="auto" w:fill="F2F2F2"/>
          </w:tcPr>
          <w:p>
            <w:pPr>
              <w:spacing w:before="60" w:after="60"/>
              <w:ind w:left="72"/>
            </w:pPr>
            <w:r>
              <w:rPr>
                <w:rFonts w:ascii="Arial" w:hAnsi="Arial"/>
                <w:color w:val="1F1F1F"/>
                <w:sz w:val="19"/>
              </w:rPr>
              <w:t>Integer</w:t>
            </w:r>
          </w:p>
        </w:tc>
        <w:tc>
          <w:tcPr>
            <w:tcW w:type="dxa" w:w="4896"/>
            <w:shd w:val="clear" w:color="auto" w:fill="F2F2F2"/>
          </w:tcPr>
          <w:p>
            <w:pPr>
              <w:spacing w:before="60" w:after="60"/>
              <w:ind w:left="72"/>
            </w:pPr>
            <w:r>
              <w:rPr>
                <w:rFonts w:ascii="Arial" w:hAnsi="Arial"/>
                <w:color w:val="1F1F1F"/>
                <w:sz w:val="19"/>
              </w:rPr>
              <w:t>0–100, calculated by scheduled job</w:t>
            </w:r>
          </w:p>
        </w:tc>
      </w:tr>
      <w:tr>
        <w:tc>
          <w:tcPr>
            <w:tcW w:type="dxa" w:w="2448"/>
            <w:shd w:val="clear" w:color="auto" w:fill="FFFFFF"/>
          </w:tcPr>
          <w:p>
            <w:pPr>
              <w:spacing w:before="60" w:after="60"/>
              <w:ind w:left="72"/>
            </w:pPr>
            <w:r>
              <w:rPr>
                <w:rFonts w:ascii="Arial" w:hAnsi="Arial"/>
                <w:color w:val="1F1F1F"/>
                <w:sz w:val="19"/>
              </w:rPr>
              <w:t>Delivery Manager</w:t>
            </w:r>
          </w:p>
        </w:tc>
        <w:tc>
          <w:tcPr>
            <w:tcW w:type="dxa" w:w="2016"/>
            <w:shd w:val="clear" w:color="auto" w:fill="FFFFFF"/>
          </w:tcPr>
          <w:p>
            <w:pPr>
              <w:spacing w:before="60" w:after="60"/>
              <w:ind w:left="72"/>
            </w:pPr>
            <w:r>
              <w:rPr>
                <w:rFonts w:ascii="Arial" w:hAnsi="Arial"/>
                <w:color w:val="1F1F1F"/>
                <w:sz w:val="19"/>
              </w:rPr>
              <w:t>Reference → User</w:t>
            </w:r>
          </w:p>
        </w:tc>
        <w:tc>
          <w:tcPr>
            <w:tcW w:type="dxa" w:w="4896"/>
            <w:shd w:val="clear" w:color="auto" w:fill="FFFFFF"/>
          </w:tcPr>
          <w:p>
            <w:pPr>
              <w:spacing w:before="60" w:after="60"/>
              <w:ind w:left="72"/>
            </w:pPr>
            <w:r>
              <w:rPr>
                <w:rFonts w:ascii="Arial" w:hAnsi="Arial"/>
                <w:color w:val="1F1F1F"/>
                <w:sz w:val="19"/>
              </w:rPr>
              <w:t>Everforth DM assigned to engagement</w:t>
            </w:r>
          </w:p>
        </w:tc>
      </w:tr>
      <w:tr>
        <w:tc>
          <w:tcPr>
            <w:tcW w:type="dxa" w:w="2448"/>
            <w:shd w:val="clear" w:color="auto" w:fill="F2F2F2"/>
          </w:tcPr>
          <w:p>
            <w:pPr>
              <w:spacing w:before="60" w:after="60"/>
              <w:ind w:left="72"/>
            </w:pPr>
            <w:r>
              <w:rPr>
                <w:rFonts w:ascii="Arial" w:hAnsi="Arial"/>
                <w:color w:val="1F1F1F"/>
                <w:sz w:val="19"/>
              </w:rPr>
              <w:t>Lead Architect</w:t>
            </w:r>
          </w:p>
        </w:tc>
        <w:tc>
          <w:tcPr>
            <w:tcW w:type="dxa" w:w="2016"/>
            <w:shd w:val="clear" w:color="auto" w:fill="F2F2F2"/>
          </w:tcPr>
          <w:p>
            <w:pPr>
              <w:spacing w:before="60" w:after="60"/>
              <w:ind w:left="72"/>
            </w:pPr>
            <w:r>
              <w:rPr>
                <w:rFonts w:ascii="Arial" w:hAnsi="Arial"/>
                <w:color w:val="1F1F1F"/>
                <w:sz w:val="19"/>
              </w:rPr>
              <w:t>Reference → User</w:t>
            </w:r>
          </w:p>
        </w:tc>
        <w:tc>
          <w:tcPr>
            <w:tcW w:type="dxa" w:w="4896"/>
            <w:shd w:val="clear" w:color="auto" w:fill="F2F2F2"/>
          </w:tcPr>
          <w:p>
            <w:pPr>
              <w:spacing w:before="60" w:after="60"/>
              <w:ind w:left="72"/>
            </w:pPr>
            <w:r>
              <w:rPr>
                <w:rFonts w:ascii="Arial" w:hAnsi="Arial"/>
                <w:color w:val="1F1F1F"/>
                <w:sz w:val="19"/>
              </w:rPr>
              <w:t>Everforth architect</w:t>
            </w:r>
          </w:p>
        </w:tc>
      </w:tr>
      <w:tr>
        <w:tc>
          <w:tcPr>
            <w:tcW w:type="dxa" w:w="2448"/>
            <w:shd w:val="clear" w:color="auto" w:fill="FFFFFF"/>
          </w:tcPr>
          <w:p>
            <w:pPr>
              <w:spacing w:before="60" w:after="60"/>
              <w:ind w:left="72"/>
            </w:pPr>
            <w:r>
              <w:rPr>
                <w:rFonts w:ascii="Arial" w:hAnsi="Arial"/>
                <w:color w:val="1F1F1F"/>
                <w:sz w:val="19"/>
              </w:rPr>
              <w:t>Executive Sponsor</w:t>
            </w:r>
          </w:p>
        </w:tc>
        <w:tc>
          <w:tcPr>
            <w:tcW w:type="dxa" w:w="2016"/>
            <w:shd w:val="clear" w:color="auto" w:fill="FFFFFF"/>
          </w:tcPr>
          <w:p>
            <w:pPr>
              <w:spacing w:before="60" w:after="60"/>
              <w:ind w:left="72"/>
            </w:pPr>
            <w:r>
              <w:rPr>
                <w:rFonts w:ascii="Arial" w:hAnsi="Arial"/>
                <w:color w:val="1F1F1F"/>
                <w:sz w:val="19"/>
              </w:rPr>
              <w:t>Reference → User</w:t>
            </w:r>
          </w:p>
        </w:tc>
        <w:tc>
          <w:tcPr>
            <w:tcW w:type="dxa" w:w="4896"/>
            <w:shd w:val="clear" w:color="auto" w:fill="FFFFFF"/>
          </w:tcPr>
          <w:p>
            <w:pPr>
              <w:spacing w:before="60" w:after="60"/>
              <w:ind w:left="72"/>
            </w:pPr>
            <w:r>
              <w:rPr>
                <w:rFonts w:ascii="Arial" w:hAnsi="Arial"/>
                <w:color w:val="1F1F1F"/>
                <w:sz w:val="19"/>
              </w:rPr>
              <w:t>Customer sponsor (portal access)</w:t>
            </w:r>
          </w:p>
        </w:tc>
      </w:tr>
      <w:tr>
        <w:tc>
          <w:tcPr>
            <w:tcW w:type="dxa" w:w="2448"/>
            <w:shd w:val="clear" w:color="auto" w:fill="F2F2F2"/>
          </w:tcPr>
          <w:p>
            <w:pPr>
              <w:spacing w:before="60" w:after="60"/>
              <w:ind w:left="72"/>
            </w:pPr>
            <w:r>
              <w:rPr>
                <w:rFonts w:ascii="Arial" w:hAnsi="Arial"/>
                <w:color w:val="1F1F1F"/>
                <w:sz w:val="19"/>
              </w:rPr>
              <w:t>SPM Project</w:t>
            </w:r>
          </w:p>
        </w:tc>
        <w:tc>
          <w:tcPr>
            <w:tcW w:type="dxa" w:w="2016"/>
            <w:shd w:val="clear" w:color="auto" w:fill="F2F2F2"/>
          </w:tcPr>
          <w:p>
            <w:pPr>
              <w:spacing w:before="60" w:after="60"/>
              <w:ind w:left="72"/>
            </w:pPr>
            <w:r>
              <w:rPr>
                <w:rFonts w:ascii="Arial" w:hAnsi="Arial"/>
                <w:color w:val="1F1F1F"/>
                <w:sz w:val="19"/>
              </w:rPr>
              <w:t>Reference → pm_project</w:t>
            </w:r>
          </w:p>
        </w:tc>
        <w:tc>
          <w:tcPr>
            <w:tcW w:type="dxa" w:w="4896"/>
            <w:shd w:val="clear" w:color="auto" w:fill="F2F2F2"/>
          </w:tcPr>
          <w:p>
            <w:pPr>
              <w:spacing w:before="60" w:after="60"/>
              <w:ind w:left="72"/>
            </w:pPr>
            <w:r>
              <w:rPr>
                <w:rFonts w:ascii="Arial" w:hAnsi="Arial"/>
                <w:color w:val="1F1F1F"/>
                <w:sz w:val="19"/>
              </w:rPr>
              <w:t>Links to Strategic Portfolio Mgmt record</w:t>
            </w:r>
          </w:p>
        </w:tc>
      </w:tr>
      <w:tr>
        <w:tc>
          <w:tcPr>
            <w:tcW w:type="dxa" w:w="2448"/>
            <w:shd w:val="clear" w:color="auto" w:fill="FFFFFF"/>
          </w:tcPr>
          <w:p>
            <w:pPr>
              <w:spacing w:before="60" w:after="60"/>
              <w:ind w:left="72"/>
            </w:pPr>
            <w:r>
              <w:rPr>
                <w:rFonts w:ascii="Arial" w:hAnsi="Arial"/>
                <w:color w:val="1F1F1F"/>
                <w:sz w:val="19"/>
              </w:rPr>
              <w:t>Agile Backlog</w:t>
            </w:r>
          </w:p>
        </w:tc>
        <w:tc>
          <w:tcPr>
            <w:tcW w:type="dxa" w:w="2016"/>
            <w:shd w:val="clear" w:color="auto" w:fill="FFFFFF"/>
          </w:tcPr>
          <w:p>
            <w:pPr>
              <w:spacing w:before="60" w:after="60"/>
              <w:ind w:left="72"/>
            </w:pPr>
            <w:r>
              <w:rPr>
                <w:rFonts w:ascii="Arial" w:hAnsi="Arial"/>
                <w:color w:val="1F1F1F"/>
                <w:sz w:val="19"/>
              </w:rPr>
              <w:t>Reference → rm_sprint_backlog</w:t>
            </w:r>
          </w:p>
        </w:tc>
        <w:tc>
          <w:tcPr>
            <w:tcW w:type="dxa" w:w="4896"/>
            <w:shd w:val="clear" w:color="auto" w:fill="FFFFFF"/>
          </w:tcPr>
          <w:p>
            <w:pPr>
              <w:spacing w:before="60" w:after="60"/>
              <w:ind w:left="72"/>
            </w:pPr>
            <w:r>
              <w:rPr>
                <w:rFonts w:ascii="Arial" w:hAnsi="Arial"/>
                <w:color w:val="1F1F1F"/>
                <w:sz w:val="19"/>
              </w:rPr>
              <w:t>Links to Agile backlog for this engagement</w:t>
            </w:r>
          </w:p>
        </w:tc>
      </w:tr>
    </w:tbl>
    <w:p>
      <w:pPr>
        <w:spacing w:after="120"/>
      </w:pPr>
    </w:p>
    <w:p>
      <w:pPr>
        <w:spacing w:before="160" w:after="60"/>
      </w:pPr>
      <w:r>
        <w:rPr>
          <w:rFonts w:ascii="Arial" w:hAnsi="Arial"/>
          <w:b/>
          <w:color w:val="1B3A6B"/>
          <w:sz w:val="22"/>
        </w:rPr>
        <w:t>Sprint Gate  [x_everforth_ecs_dip_sprint_gate]</w:t>
      </w:r>
    </w:p>
    <w:p>
      <w:pPr>
        <w:spacing w:before="0" w:after="80"/>
        <w:jc w:val="left"/>
      </w:pPr>
      <w:r>
        <w:rPr>
          <w:rFonts w:ascii="Arial" w:hAnsi="Arial"/>
          <w:b w:val="0"/>
          <w:i w:val="0"/>
          <w:color w:val="1F1F1F"/>
          <w:sz w:val="20"/>
        </w:rPr>
        <w:t>One record per sprint per engagement. Tracks gate criteria and pass/fail status.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448"/>
            <w:shd w:val="clear" w:color="auto" w:fill="1B3A6B"/>
          </w:tcPr>
          <w:p>
            <w:pPr>
              <w:spacing w:before="80" w:after="80"/>
              <w:ind w:left="72"/>
            </w:pPr>
            <w:r>
              <w:rPr>
                <w:rFonts w:ascii="Arial" w:hAnsi="Arial"/>
                <w:b/>
                <w:color w:val="FFFFFF"/>
                <w:sz w:val="20"/>
              </w:rPr>
              <w:t>Field</w:t>
            </w:r>
          </w:p>
        </w:tc>
        <w:tc>
          <w:tcPr>
            <w:tcW w:type="dxa" w:w="2160"/>
            <w:shd w:val="clear" w:color="auto" w:fill="1B3A6B"/>
          </w:tcPr>
          <w:p>
            <w:pPr>
              <w:spacing w:before="80" w:after="80"/>
              <w:ind w:left="72"/>
            </w:pPr>
            <w:r>
              <w:rPr>
                <w:rFonts w:ascii="Arial" w:hAnsi="Arial"/>
                <w:b/>
                <w:color w:val="FFFFFF"/>
                <w:sz w:val="20"/>
              </w:rPr>
              <w:t>Type</w:t>
            </w:r>
          </w:p>
        </w:tc>
        <w:tc>
          <w:tcPr>
            <w:tcW w:type="dxa" w:w="4752"/>
            <w:shd w:val="clear" w:color="auto" w:fill="1B3A6B"/>
          </w:tcPr>
          <w:p>
            <w:pPr>
              <w:spacing w:before="80" w:after="80"/>
              <w:ind w:left="72"/>
            </w:pPr>
            <w:r>
              <w:rPr>
                <w:rFonts w:ascii="Arial" w:hAnsi="Arial"/>
                <w:b/>
                <w:color w:val="FFFFFF"/>
                <w:sz w:val="20"/>
              </w:rPr>
              <w:t>Purpose</w:t>
            </w:r>
          </w:p>
        </w:tc>
      </w:tr>
      <w:tr>
        <w:tc>
          <w:tcPr>
            <w:tcW w:type="dxa" w:w="2448"/>
            <w:shd w:val="clear" w:color="auto" w:fill="F2F2F2"/>
          </w:tcPr>
          <w:p>
            <w:pPr>
              <w:spacing w:before="60" w:after="60"/>
              <w:ind w:left="72"/>
            </w:pPr>
            <w:r>
              <w:rPr>
                <w:rFonts w:ascii="Arial" w:hAnsi="Arial"/>
                <w:color w:val="1F1F1F"/>
                <w:sz w:val="19"/>
              </w:rPr>
              <w:t>Engagement</w:t>
            </w:r>
          </w:p>
        </w:tc>
        <w:tc>
          <w:tcPr>
            <w:tcW w:type="dxa" w:w="2160"/>
            <w:shd w:val="clear" w:color="auto" w:fill="F2F2F2"/>
          </w:tcPr>
          <w:p>
            <w:pPr>
              <w:spacing w:before="60" w:after="60"/>
              <w:ind w:left="72"/>
            </w:pPr>
            <w:r>
              <w:rPr>
                <w:rFonts w:ascii="Arial" w:hAnsi="Arial"/>
                <w:color w:val="1F1F1F"/>
                <w:sz w:val="19"/>
              </w:rPr>
              <w:t>Reference → Engagement</w:t>
            </w:r>
          </w:p>
        </w:tc>
        <w:tc>
          <w:tcPr>
            <w:tcW w:type="dxa" w:w="4752"/>
            <w:shd w:val="clear" w:color="auto" w:fill="F2F2F2"/>
          </w:tcPr>
          <w:p>
            <w:pPr>
              <w:spacing w:before="60" w:after="60"/>
              <w:ind w:left="72"/>
            </w:pPr>
            <w:r>
              <w:rPr>
                <w:rFonts w:ascii="Arial" w:hAnsi="Arial"/>
                <w:color w:val="1F1F1F"/>
                <w:sz w:val="19"/>
              </w:rPr>
              <w:t>Parent engagement</w:t>
            </w:r>
          </w:p>
        </w:tc>
      </w:tr>
      <w:tr>
        <w:tc>
          <w:tcPr>
            <w:tcW w:type="dxa" w:w="2448"/>
            <w:shd w:val="clear" w:color="auto" w:fill="FFFFFF"/>
          </w:tcPr>
          <w:p>
            <w:pPr>
              <w:spacing w:before="60" w:after="60"/>
              <w:ind w:left="72"/>
            </w:pPr>
            <w:r>
              <w:rPr>
                <w:rFonts w:ascii="Arial" w:hAnsi="Arial"/>
                <w:color w:val="1F1F1F"/>
                <w:sz w:val="19"/>
              </w:rPr>
              <w:t>Sprint Number</w:t>
            </w:r>
          </w:p>
        </w:tc>
        <w:tc>
          <w:tcPr>
            <w:tcW w:type="dxa" w:w="2160"/>
            <w:shd w:val="clear" w:color="auto" w:fill="FFFFFF"/>
          </w:tcPr>
          <w:p>
            <w:pPr>
              <w:spacing w:before="60" w:after="60"/>
              <w:ind w:left="72"/>
            </w:pPr>
            <w:r>
              <w:rPr>
                <w:rFonts w:ascii="Arial" w:hAnsi="Arial"/>
                <w:color w:val="1F1F1F"/>
                <w:sz w:val="19"/>
              </w:rPr>
              <w:t>Choice (0–6, Hypercare)</w:t>
            </w:r>
          </w:p>
        </w:tc>
        <w:tc>
          <w:tcPr>
            <w:tcW w:type="dxa" w:w="4752"/>
            <w:shd w:val="clear" w:color="auto" w:fill="FFFFFF"/>
          </w:tcPr>
          <w:p>
            <w:pPr>
              <w:spacing w:before="60" w:after="60"/>
              <w:ind w:left="72"/>
            </w:pPr>
            <w:r>
              <w:rPr>
                <w:rFonts w:ascii="Arial" w:hAnsi="Arial"/>
                <w:color w:val="1F1F1F"/>
                <w:sz w:val="19"/>
              </w:rPr>
              <w:t>Which sprint</w:t>
            </w:r>
          </w:p>
        </w:tc>
      </w:tr>
      <w:tr>
        <w:tc>
          <w:tcPr>
            <w:tcW w:type="dxa" w:w="2448"/>
            <w:shd w:val="clear" w:color="auto" w:fill="F2F2F2"/>
          </w:tcPr>
          <w:p>
            <w:pPr>
              <w:spacing w:before="60" w:after="60"/>
              <w:ind w:left="72"/>
            </w:pPr>
            <w:r>
              <w:rPr>
                <w:rFonts w:ascii="Arial" w:hAnsi="Arial"/>
                <w:color w:val="1F1F1F"/>
                <w:sz w:val="19"/>
              </w:rPr>
              <w:t>Sprint Start</w:t>
            </w:r>
          </w:p>
        </w:tc>
        <w:tc>
          <w:tcPr>
            <w:tcW w:type="dxa" w:w="2160"/>
            <w:shd w:val="clear" w:color="auto" w:fill="F2F2F2"/>
          </w:tcPr>
          <w:p>
            <w:pPr>
              <w:spacing w:before="60" w:after="60"/>
              <w:ind w:left="72"/>
            </w:pPr>
            <w:r>
              <w:rPr>
                <w:rFonts w:ascii="Arial" w:hAnsi="Arial"/>
                <w:color w:val="1F1F1F"/>
                <w:sz w:val="19"/>
              </w:rPr>
              <w:t>Date</w:t>
            </w:r>
          </w:p>
        </w:tc>
        <w:tc>
          <w:tcPr>
            <w:tcW w:type="dxa" w:w="4752"/>
            <w:shd w:val="clear" w:color="auto" w:fill="F2F2F2"/>
          </w:tcPr>
          <w:p>
            <w:pPr>
              <w:spacing w:before="60" w:after="60"/>
              <w:ind w:left="72"/>
            </w:pPr>
            <w:r>
              <w:rPr>
                <w:rFonts w:ascii="Arial" w:hAnsi="Arial"/>
                <w:color w:val="1F1F1F"/>
                <w:sz w:val="19"/>
              </w:rPr>
              <w:t>Actual start date</w:t>
            </w:r>
          </w:p>
        </w:tc>
      </w:tr>
      <w:tr>
        <w:tc>
          <w:tcPr>
            <w:tcW w:type="dxa" w:w="2448"/>
            <w:shd w:val="clear" w:color="auto" w:fill="FFFFFF"/>
          </w:tcPr>
          <w:p>
            <w:pPr>
              <w:spacing w:before="60" w:after="60"/>
              <w:ind w:left="72"/>
            </w:pPr>
            <w:r>
              <w:rPr>
                <w:rFonts w:ascii="Arial" w:hAnsi="Arial"/>
                <w:color w:val="1F1F1F"/>
                <w:sz w:val="19"/>
              </w:rPr>
              <w:t>Sprint End</w:t>
            </w:r>
          </w:p>
        </w:tc>
        <w:tc>
          <w:tcPr>
            <w:tcW w:type="dxa" w:w="2160"/>
            <w:shd w:val="clear" w:color="auto" w:fill="FFFFFF"/>
          </w:tcPr>
          <w:p>
            <w:pPr>
              <w:spacing w:before="60" w:after="60"/>
              <w:ind w:left="72"/>
            </w:pPr>
            <w:r>
              <w:rPr>
                <w:rFonts w:ascii="Arial" w:hAnsi="Arial"/>
                <w:color w:val="1F1F1F"/>
                <w:sz w:val="19"/>
              </w:rPr>
              <w:t>Date</w:t>
            </w:r>
          </w:p>
        </w:tc>
        <w:tc>
          <w:tcPr>
            <w:tcW w:type="dxa" w:w="4752"/>
            <w:shd w:val="clear" w:color="auto" w:fill="FFFFFF"/>
          </w:tcPr>
          <w:p>
            <w:pPr>
              <w:spacing w:before="60" w:after="60"/>
              <w:ind w:left="72"/>
            </w:pPr>
            <w:r>
              <w:rPr>
                <w:rFonts w:ascii="Arial" w:hAnsi="Arial"/>
                <w:color w:val="1F1F1F"/>
                <w:sz w:val="19"/>
              </w:rPr>
              <w:t>Actual end date</w:t>
            </w:r>
          </w:p>
        </w:tc>
      </w:tr>
      <w:tr>
        <w:tc>
          <w:tcPr>
            <w:tcW w:type="dxa" w:w="2448"/>
            <w:shd w:val="clear" w:color="auto" w:fill="F2F2F2"/>
          </w:tcPr>
          <w:p>
            <w:pPr>
              <w:spacing w:before="60" w:after="60"/>
              <w:ind w:left="72"/>
            </w:pPr>
            <w:r>
              <w:rPr>
                <w:rFonts w:ascii="Arial" w:hAnsi="Arial"/>
                <w:color w:val="1F1F1F"/>
                <w:sz w:val="19"/>
              </w:rPr>
              <w:t>Gate Status</w:t>
            </w:r>
          </w:p>
        </w:tc>
        <w:tc>
          <w:tcPr>
            <w:tcW w:type="dxa" w:w="2160"/>
            <w:shd w:val="clear" w:color="auto" w:fill="F2F2F2"/>
          </w:tcPr>
          <w:p>
            <w:pPr>
              <w:spacing w:before="60" w:after="60"/>
              <w:ind w:left="72"/>
            </w:pPr>
            <w:r>
              <w:rPr>
                <w:rFonts w:ascii="Arial" w:hAnsi="Arial"/>
                <w:color w:val="1F1F1F"/>
                <w:sz w:val="19"/>
              </w:rPr>
              <w:t>Choice</w:t>
            </w:r>
          </w:p>
        </w:tc>
        <w:tc>
          <w:tcPr>
            <w:tcW w:type="dxa" w:w="4752"/>
            <w:shd w:val="clear" w:color="auto" w:fill="F2F2F2"/>
          </w:tcPr>
          <w:p>
            <w:pPr>
              <w:spacing w:before="60" w:after="60"/>
              <w:ind w:left="72"/>
            </w:pPr>
            <w:r>
              <w:rPr>
                <w:rFonts w:ascii="Arial" w:hAnsi="Arial"/>
                <w:color w:val="1F1F1F"/>
                <w:sz w:val="19"/>
              </w:rPr>
              <w:t>Open, At Risk, Passed, Failed</w:t>
            </w:r>
          </w:p>
        </w:tc>
      </w:tr>
      <w:tr>
        <w:tc>
          <w:tcPr>
            <w:tcW w:type="dxa" w:w="2448"/>
            <w:shd w:val="clear" w:color="auto" w:fill="FFFFFF"/>
          </w:tcPr>
          <w:p>
            <w:pPr>
              <w:spacing w:before="60" w:after="60"/>
              <w:ind w:left="72"/>
            </w:pPr>
            <w:r>
              <w:rPr>
                <w:rFonts w:ascii="Arial" w:hAnsi="Arial"/>
                <w:color w:val="1F1F1F"/>
                <w:sz w:val="19"/>
              </w:rPr>
              <w:t>Stories Committed</w:t>
            </w:r>
          </w:p>
        </w:tc>
        <w:tc>
          <w:tcPr>
            <w:tcW w:type="dxa" w:w="2160"/>
            <w:shd w:val="clear" w:color="auto" w:fill="FFFFFF"/>
          </w:tcPr>
          <w:p>
            <w:pPr>
              <w:spacing w:before="60" w:after="60"/>
              <w:ind w:left="72"/>
            </w:pPr>
            <w:r>
              <w:rPr>
                <w:rFonts w:ascii="Arial" w:hAnsi="Arial"/>
                <w:color w:val="1F1F1F"/>
                <w:sz w:val="19"/>
              </w:rPr>
              <w:t>Integer</w:t>
            </w:r>
          </w:p>
        </w:tc>
        <w:tc>
          <w:tcPr>
            <w:tcW w:type="dxa" w:w="4752"/>
            <w:shd w:val="clear" w:color="auto" w:fill="FFFFFF"/>
          </w:tcPr>
          <w:p>
            <w:pPr>
              <w:spacing w:before="60" w:after="60"/>
              <w:ind w:left="72"/>
            </w:pPr>
            <w:r>
              <w:rPr>
                <w:rFonts w:ascii="Arial" w:hAnsi="Arial"/>
                <w:color w:val="1F1F1F"/>
                <w:sz w:val="19"/>
              </w:rPr>
              <w:t>Pulled from Agile at sprint start</w:t>
            </w:r>
          </w:p>
        </w:tc>
      </w:tr>
      <w:tr>
        <w:tc>
          <w:tcPr>
            <w:tcW w:type="dxa" w:w="2448"/>
            <w:shd w:val="clear" w:color="auto" w:fill="F2F2F2"/>
          </w:tcPr>
          <w:p>
            <w:pPr>
              <w:spacing w:before="60" w:after="60"/>
              <w:ind w:left="72"/>
            </w:pPr>
            <w:r>
              <w:rPr>
                <w:rFonts w:ascii="Arial" w:hAnsi="Arial"/>
                <w:color w:val="1F1F1F"/>
                <w:sz w:val="19"/>
              </w:rPr>
              <w:t>Stories Completed</w:t>
            </w:r>
          </w:p>
        </w:tc>
        <w:tc>
          <w:tcPr>
            <w:tcW w:type="dxa" w:w="2160"/>
            <w:shd w:val="clear" w:color="auto" w:fill="F2F2F2"/>
          </w:tcPr>
          <w:p>
            <w:pPr>
              <w:spacing w:before="60" w:after="60"/>
              <w:ind w:left="72"/>
            </w:pPr>
            <w:r>
              <w:rPr>
                <w:rFonts w:ascii="Arial" w:hAnsi="Arial"/>
                <w:color w:val="1F1F1F"/>
                <w:sz w:val="19"/>
              </w:rPr>
              <w:t>Calculated</w:t>
            </w:r>
          </w:p>
        </w:tc>
        <w:tc>
          <w:tcPr>
            <w:tcW w:type="dxa" w:w="4752"/>
            <w:shd w:val="clear" w:color="auto" w:fill="F2F2F2"/>
          </w:tcPr>
          <w:p>
            <w:pPr>
              <w:spacing w:before="60" w:after="60"/>
              <w:ind w:left="72"/>
            </w:pPr>
            <w:r>
              <w:rPr>
                <w:rFonts w:ascii="Arial" w:hAnsi="Arial"/>
                <w:color w:val="1F1F1F"/>
                <w:sz w:val="19"/>
              </w:rPr>
              <w:t>Live count from Agile</w:t>
            </w:r>
          </w:p>
        </w:tc>
      </w:tr>
      <w:tr>
        <w:tc>
          <w:tcPr>
            <w:tcW w:type="dxa" w:w="2448"/>
            <w:shd w:val="clear" w:color="auto" w:fill="FFFFFF"/>
          </w:tcPr>
          <w:p>
            <w:pPr>
              <w:spacing w:before="60" w:after="60"/>
              <w:ind w:left="72"/>
            </w:pPr>
            <w:r>
              <w:rPr>
                <w:rFonts w:ascii="Arial" w:hAnsi="Arial"/>
                <w:color w:val="1F1F1F"/>
                <w:sz w:val="19"/>
              </w:rPr>
              <w:t>Velocity %</w:t>
            </w:r>
          </w:p>
        </w:tc>
        <w:tc>
          <w:tcPr>
            <w:tcW w:type="dxa" w:w="2160"/>
            <w:shd w:val="clear" w:color="auto" w:fill="FFFFFF"/>
          </w:tcPr>
          <w:p>
            <w:pPr>
              <w:spacing w:before="60" w:after="60"/>
              <w:ind w:left="72"/>
            </w:pPr>
            <w:r>
              <w:rPr>
                <w:rFonts w:ascii="Arial" w:hAnsi="Arial"/>
                <w:color w:val="1F1F1F"/>
                <w:sz w:val="19"/>
              </w:rPr>
              <w:t>Calculated</w:t>
            </w:r>
          </w:p>
        </w:tc>
        <w:tc>
          <w:tcPr>
            <w:tcW w:type="dxa" w:w="4752"/>
            <w:shd w:val="clear" w:color="auto" w:fill="FFFFFF"/>
          </w:tcPr>
          <w:p>
            <w:pPr>
              <w:spacing w:before="60" w:after="60"/>
              <w:ind w:left="72"/>
            </w:pPr>
            <w:r>
              <w:rPr>
                <w:rFonts w:ascii="Arial" w:hAnsi="Arial"/>
                <w:color w:val="1F1F1F"/>
                <w:sz w:val="19"/>
              </w:rPr>
              <w:t>Completed ÷ Committed × 100</w:t>
            </w:r>
          </w:p>
        </w:tc>
      </w:tr>
      <w:tr>
        <w:tc>
          <w:tcPr>
            <w:tcW w:type="dxa" w:w="2448"/>
            <w:shd w:val="clear" w:color="auto" w:fill="F2F2F2"/>
          </w:tcPr>
          <w:p>
            <w:pPr>
              <w:spacing w:before="60" w:after="60"/>
              <w:ind w:left="72"/>
            </w:pPr>
            <w:r>
              <w:rPr>
                <w:rFonts w:ascii="Arial" w:hAnsi="Arial"/>
                <w:color w:val="1F1F1F"/>
                <w:sz w:val="19"/>
              </w:rPr>
              <w:t>Open Risks</w:t>
            </w:r>
          </w:p>
        </w:tc>
        <w:tc>
          <w:tcPr>
            <w:tcW w:type="dxa" w:w="2160"/>
            <w:shd w:val="clear" w:color="auto" w:fill="F2F2F2"/>
          </w:tcPr>
          <w:p>
            <w:pPr>
              <w:spacing w:before="60" w:after="60"/>
              <w:ind w:left="72"/>
            </w:pPr>
            <w:r>
              <w:rPr>
                <w:rFonts w:ascii="Arial" w:hAnsi="Arial"/>
                <w:color w:val="1F1F1F"/>
                <w:sz w:val="19"/>
              </w:rPr>
              <w:t>Calculated</w:t>
            </w:r>
          </w:p>
        </w:tc>
        <w:tc>
          <w:tcPr>
            <w:tcW w:type="dxa" w:w="4752"/>
            <w:shd w:val="clear" w:color="auto" w:fill="F2F2F2"/>
          </w:tcPr>
          <w:p>
            <w:pPr>
              <w:spacing w:before="60" w:after="60"/>
              <w:ind w:left="72"/>
            </w:pPr>
            <w:r>
              <w:rPr>
                <w:rFonts w:ascii="Arial" w:hAnsi="Arial"/>
                <w:color w:val="1F1F1F"/>
                <w:sz w:val="19"/>
              </w:rPr>
              <w:t>Count of open Risk records for this sprint</w:t>
            </w:r>
          </w:p>
        </w:tc>
      </w:tr>
      <w:tr>
        <w:tc>
          <w:tcPr>
            <w:tcW w:type="dxa" w:w="2448"/>
            <w:shd w:val="clear" w:color="auto" w:fill="FFFFFF"/>
          </w:tcPr>
          <w:p>
            <w:pPr>
              <w:spacing w:before="60" w:after="60"/>
              <w:ind w:left="72"/>
            </w:pPr>
            <w:r>
              <w:rPr>
                <w:rFonts w:ascii="Arial" w:hAnsi="Arial"/>
                <w:color w:val="1F1F1F"/>
                <w:sz w:val="19"/>
              </w:rPr>
              <w:t>Open Decisions</w:t>
            </w:r>
          </w:p>
        </w:tc>
        <w:tc>
          <w:tcPr>
            <w:tcW w:type="dxa" w:w="2160"/>
            <w:shd w:val="clear" w:color="auto" w:fill="FFFFFF"/>
          </w:tcPr>
          <w:p>
            <w:pPr>
              <w:spacing w:before="60" w:after="60"/>
              <w:ind w:left="72"/>
            </w:pPr>
            <w:r>
              <w:rPr>
                <w:rFonts w:ascii="Arial" w:hAnsi="Arial"/>
                <w:color w:val="1F1F1F"/>
                <w:sz w:val="19"/>
              </w:rPr>
              <w:t>Calculated</w:t>
            </w:r>
          </w:p>
        </w:tc>
        <w:tc>
          <w:tcPr>
            <w:tcW w:type="dxa" w:w="4752"/>
            <w:shd w:val="clear" w:color="auto" w:fill="FFFFFF"/>
          </w:tcPr>
          <w:p>
            <w:pPr>
              <w:spacing w:before="60" w:after="60"/>
              <w:ind w:left="72"/>
            </w:pPr>
            <w:r>
              <w:rPr>
                <w:rFonts w:ascii="Arial" w:hAnsi="Arial"/>
                <w:color w:val="1F1F1F"/>
                <w:sz w:val="19"/>
              </w:rPr>
              <w:t>Count of open Decision records</w:t>
            </w:r>
          </w:p>
        </w:tc>
      </w:tr>
      <w:tr>
        <w:tc>
          <w:tcPr>
            <w:tcW w:type="dxa" w:w="2448"/>
            <w:shd w:val="clear" w:color="auto" w:fill="F2F2F2"/>
          </w:tcPr>
          <w:p>
            <w:pPr>
              <w:spacing w:before="60" w:after="60"/>
              <w:ind w:left="72"/>
            </w:pPr>
            <w:r>
              <w:rPr>
                <w:rFonts w:ascii="Arial" w:hAnsi="Arial"/>
                <w:color w:val="1F1F1F"/>
                <w:sz w:val="19"/>
              </w:rPr>
              <w:t>Gate Sign-Off</w:t>
            </w:r>
          </w:p>
        </w:tc>
        <w:tc>
          <w:tcPr>
            <w:tcW w:type="dxa" w:w="2160"/>
            <w:shd w:val="clear" w:color="auto" w:fill="F2F2F2"/>
          </w:tcPr>
          <w:p>
            <w:pPr>
              <w:spacing w:before="60" w:after="60"/>
              <w:ind w:left="72"/>
            </w:pPr>
            <w:r>
              <w:rPr>
                <w:rFonts w:ascii="Arial" w:hAnsi="Arial"/>
                <w:color w:val="1F1F1F"/>
                <w:sz w:val="19"/>
              </w:rPr>
              <w:t>Reference → User</w:t>
            </w:r>
          </w:p>
        </w:tc>
        <w:tc>
          <w:tcPr>
            <w:tcW w:type="dxa" w:w="4752"/>
            <w:shd w:val="clear" w:color="auto" w:fill="F2F2F2"/>
          </w:tcPr>
          <w:p>
            <w:pPr>
              <w:spacing w:before="60" w:after="60"/>
              <w:ind w:left="72"/>
            </w:pPr>
            <w:r>
              <w:rPr>
                <w:rFonts w:ascii="Arial" w:hAnsi="Arial"/>
                <w:color w:val="1F1F1F"/>
                <w:sz w:val="19"/>
              </w:rPr>
              <w:t>Customer sign-off on gate</w:t>
            </w:r>
          </w:p>
        </w:tc>
      </w:tr>
      <w:tr>
        <w:tc>
          <w:tcPr>
            <w:tcW w:type="dxa" w:w="2448"/>
            <w:shd w:val="clear" w:color="auto" w:fill="FFFFFF"/>
          </w:tcPr>
          <w:p>
            <w:pPr>
              <w:spacing w:before="60" w:after="60"/>
              <w:ind w:left="72"/>
            </w:pPr>
            <w:r>
              <w:rPr>
                <w:rFonts w:ascii="Arial" w:hAnsi="Arial"/>
                <w:color w:val="1F1F1F"/>
                <w:sz w:val="19"/>
              </w:rPr>
              <w:t>Sign-Off Date</w:t>
            </w:r>
          </w:p>
        </w:tc>
        <w:tc>
          <w:tcPr>
            <w:tcW w:type="dxa" w:w="2160"/>
            <w:shd w:val="clear" w:color="auto" w:fill="FFFFFF"/>
          </w:tcPr>
          <w:p>
            <w:pPr>
              <w:spacing w:before="60" w:after="60"/>
              <w:ind w:left="72"/>
            </w:pPr>
            <w:r>
              <w:rPr>
                <w:rFonts w:ascii="Arial" w:hAnsi="Arial"/>
                <w:color w:val="1F1F1F"/>
                <w:sz w:val="19"/>
              </w:rPr>
              <w:t>Date</w:t>
            </w:r>
          </w:p>
        </w:tc>
        <w:tc>
          <w:tcPr>
            <w:tcW w:type="dxa" w:w="4752"/>
            <w:shd w:val="clear" w:color="auto" w:fill="FFFFFF"/>
          </w:tcPr>
          <w:p>
            <w:pPr>
              <w:spacing w:before="60" w:after="60"/>
              <w:ind w:left="72"/>
            </w:pPr>
            <w:r>
              <w:rPr>
                <w:rFonts w:ascii="Arial" w:hAnsi="Arial"/>
                <w:color w:val="1F1F1F"/>
                <w:sz w:val="19"/>
              </w:rPr>
              <w:t>When gate was approved</w:t>
            </w:r>
          </w:p>
        </w:tc>
      </w:tr>
      <w:tr>
        <w:tc>
          <w:tcPr>
            <w:tcW w:type="dxa" w:w="2448"/>
            <w:shd w:val="clear" w:color="auto" w:fill="F2F2F2"/>
          </w:tcPr>
          <w:p>
            <w:pPr>
              <w:spacing w:before="60" w:after="60"/>
              <w:ind w:left="72"/>
            </w:pPr>
            <w:r>
              <w:rPr>
                <w:rFonts w:ascii="Arial" w:hAnsi="Arial"/>
                <w:color w:val="1F1F1F"/>
                <w:sz w:val="19"/>
              </w:rPr>
              <w:t>Notes</w:t>
            </w:r>
          </w:p>
        </w:tc>
        <w:tc>
          <w:tcPr>
            <w:tcW w:type="dxa" w:w="2160"/>
            <w:shd w:val="clear" w:color="auto" w:fill="F2F2F2"/>
          </w:tcPr>
          <w:p>
            <w:pPr>
              <w:spacing w:before="60" w:after="60"/>
              <w:ind w:left="72"/>
            </w:pPr>
            <w:r>
              <w:rPr>
                <w:rFonts w:ascii="Arial" w:hAnsi="Arial"/>
                <w:color w:val="1F1F1F"/>
                <w:sz w:val="19"/>
              </w:rPr>
              <w:t>Journal</w:t>
            </w:r>
          </w:p>
        </w:tc>
        <w:tc>
          <w:tcPr>
            <w:tcW w:type="dxa" w:w="4752"/>
            <w:shd w:val="clear" w:color="auto" w:fill="F2F2F2"/>
          </w:tcPr>
          <w:p>
            <w:pPr>
              <w:spacing w:before="60" w:after="60"/>
              <w:ind w:left="72"/>
            </w:pPr>
            <w:r>
              <w:rPr>
                <w:rFonts w:ascii="Arial" w:hAnsi="Arial"/>
                <w:color w:val="1F1F1F"/>
                <w:sz w:val="19"/>
              </w:rPr>
              <w:t>Delivery manager notes</w:t>
            </w:r>
          </w:p>
        </w:tc>
      </w:tr>
    </w:tbl>
    <w:p>
      <w:pPr>
        <w:spacing w:after="120"/>
      </w:pPr>
    </w:p>
    <w:p>
      <w:pPr>
        <w:spacing w:before="160" w:after="60"/>
      </w:pPr>
      <w:r>
        <w:rPr>
          <w:rFonts w:ascii="Arial" w:hAnsi="Arial"/>
          <w:b/>
          <w:color w:val="1B3A6B"/>
          <w:sz w:val="22"/>
        </w:rPr>
        <w:t>Risk &amp; Issue  [x_everforth_ecs_dip_risk]</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160"/>
            <w:shd w:val="clear" w:color="auto" w:fill="1B3A6B"/>
          </w:tcPr>
          <w:p>
            <w:pPr>
              <w:spacing w:before="80" w:after="80"/>
              <w:ind w:left="72"/>
            </w:pPr>
            <w:r>
              <w:rPr>
                <w:rFonts w:ascii="Arial" w:hAnsi="Arial"/>
                <w:b/>
                <w:color w:val="FFFFFF"/>
                <w:sz w:val="20"/>
              </w:rPr>
              <w:t>Field</w:t>
            </w:r>
          </w:p>
        </w:tc>
        <w:tc>
          <w:tcPr>
            <w:tcW w:type="dxa" w:w="2448"/>
            <w:shd w:val="clear" w:color="auto" w:fill="1B3A6B"/>
          </w:tcPr>
          <w:p>
            <w:pPr>
              <w:spacing w:before="80" w:after="80"/>
              <w:ind w:left="72"/>
            </w:pPr>
            <w:r>
              <w:rPr>
                <w:rFonts w:ascii="Arial" w:hAnsi="Arial"/>
                <w:b/>
                <w:color w:val="FFFFFF"/>
                <w:sz w:val="20"/>
              </w:rPr>
              <w:t>Type</w:t>
            </w:r>
          </w:p>
        </w:tc>
        <w:tc>
          <w:tcPr>
            <w:tcW w:type="dxa" w:w="4752"/>
            <w:shd w:val="clear" w:color="auto" w:fill="1B3A6B"/>
          </w:tcPr>
          <w:p>
            <w:pPr>
              <w:spacing w:before="80" w:after="80"/>
              <w:ind w:left="72"/>
            </w:pPr>
            <w:r>
              <w:rPr>
                <w:rFonts w:ascii="Arial" w:hAnsi="Arial"/>
                <w:b/>
                <w:color w:val="FFFFFF"/>
                <w:sz w:val="20"/>
              </w:rPr>
              <w:t>Purpose</w:t>
            </w:r>
          </w:p>
        </w:tc>
      </w:tr>
      <w:tr>
        <w:tc>
          <w:tcPr>
            <w:tcW w:type="dxa" w:w="2160"/>
            <w:shd w:val="clear" w:color="auto" w:fill="F2F2F2"/>
          </w:tcPr>
          <w:p>
            <w:pPr>
              <w:spacing w:before="60" w:after="60"/>
              <w:ind w:left="72"/>
            </w:pPr>
            <w:r>
              <w:rPr>
                <w:rFonts w:ascii="Arial" w:hAnsi="Arial"/>
                <w:color w:val="1F1F1F"/>
                <w:sz w:val="19"/>
              </w:rPr>
              <w:t>Title</w:t>
            </w:r>
          </w:p>
        </w:tc>
        <w:tc>
          <w:tcPr>
            <w:tcW w:type="dxa" w:w="2448"/>
            <w:shd w:val="clear" w:color="auto" w:fill="F2F2F2"/>
          </w:tcPr>
          <w:p>
            <w:pPr>
              <w:spacing w:before="60" w:after="60"/>
              <w:ind w:left="72"/>
            </w:pPr>
            <w:r>
              <w:rPr>
                <w:rFonts w:ascii="Arial" w:hAnsi="Arial"/>
                <w:color w:val="1F1F1F"/>
                <w:sz w:val="19"/>
              </w:rPr>
              <w:t>String</w:t>
            </w:r>
          </w:p>
        </w:tc>
        <w:tc>
          <w:tcPr>
            <w:tcW w:type="dxa" w:w="4752"/>
            <w:shd w:val="clear" w:color="auto" w:fill="F2F2F2"/>
          </w:tcPr>
          <w:p>
            <w:pPr>
              <w:spacing w:before="60" w:after="60"/>
              <w:ind w:left="72"/>
            </w:pPr>
            <w:r>
              <w:rPr>
                <w:rFonts w:ascii="Arial" w:hAnsi="Arial"/>
                <w:color w:val="1F1F1F"/>
                <w:sz w:val="19"/>
              </w:rPr>
              <w:t>Short description of risk or issue</w:t>
            </w:r>
          </w:p>
        </w:tc>
      </w:tr>
      <w:tr>
        <w:tc>
          <w:tcPr>
            <w:tcW w:type="dxa" w:w="2160"/>
            <w:shd w:val="clear" w:color="auto" w:fill="FFFFFF"/>
          </w:tcPr>
          <w:p>
            <w:pPr>
              <w:spacing w:before="60" w:after="60"/>
              <w:ind w:left="72"/>
            </w:pPr>
            <w:r>
              <w:rPr>
                <w:rFonts w:ascii="Arial" w:hAnsi="Arial"/>
                <w:color w:val="1F1F1F"/>
                <w:sz w:val="19"/>
              </w:rPr>
              <w:t>Type</w:t>
            </w:r>
          </w:p>
        </w:tc>
        <w:tc>
          <w:tcPr>
            <w:tcW w:type="dxa" w:w="2448"/>
            <w:shd w:val="clear" w:color="auto" w:fill="FFFFFF"/>
          </w:tcPr>
          <w:p>
            <w:pPr>
              <w:spacing w:before="60" w:after="60"/>
              <w:ind w:left="72"/>
            </w:pPr>
            <w:r>
              <w:rPr>
                <w:rFonts w:ascii="Arial" w:hAnsi="Arial"/>
                <w:color w:val="1F1F1F"/>
                <w:sz w:val="19"/>
              </w:rPr>
              <w:t>Choice: Risk / Issue</w:t>
            </w:r>
          </w:p>
        </w:tc>
        <w:tc>
          <w:tcPr>
            <w:tcW w:type="dxa" w:w="4752"/>
            <w:shd w:val="clear" w:color="auto" w:fill="FFFFFF"/>
          </w:tcPr>
          <w:p>
            <w:pPr>
              <w:spacing w:before="60" w:after="60"/>
              <w:ind w:left="72"/>
            </w:pPr>
            <w:r>
              <w:rPr>
                <w:rFonts w:ascii="Arial" w:hAnsi="Arial"/>
                <w:color w:val="1F1F1F"/>
                <w:sz w:val="19"/>
              </w:rPr>
              <w:t>Distinguishes proactive vs. active</w:t>
            </w:r>
          </w:p>
        </w:tc>
      </w:tr>
      <w:tr>
        <w:tc>
          <w:tcPr>
            <w:tcW w:type="dxa" w:w="2160"/>
            <w:shd w:val="clear" w:color="auto" w:fill="F2F2F2"/>
          </w:tcPr>
          <w:p>
            <w:pPr>
              <w:spacing w:before="60" w:after="60"/>
              <w:ind w:left="72"/>
            </w:pPr>
            <w:r>
              <w:rPr>
                <w:rFonts w:ascii="Arial" w:hAnsi="Arial"/>
                <w:color w:val="1F1F1F"/>
                <w:sz w:val="19"/>
              </w:rPr>
              <w:t>Sprint Gate</w:t>
            </w:r>
          </w:p>
        </w:tc>
        <w:tc>
          <w:tcPr>
            <w:tcW w:type="dxa" w:w="2448"/>
            <w:shd w:val="clear" w:color="auto" w:fill="F2F2F2"/>
          </w:tcPr>
          <w:p>
            <w:pPr>
              <w:spacing w:before="60" w:after="60"/>
              <w:ind w:left="72"/>
            </w:pPr>
            <w:r>
              <w:rPr>
                <w:rFonts w:ascii="Arial" w:hAnsi="Arial"/>
                <w:color w:val="1F1F1F"/>
                <w:sz w:val="19"/>
              </w:rPr>
              <w:t>Reference → Sprint Gate</w:t>
            </w:r>
          </w:p>
        </w:tc>
        <w:tc>
          <w:tcPr>
            <w:tcW w:type="dxa" w:w="4752"/>
            <w:shd w:val="clear" w:color="auto" w:fill="F2F2F2"/>
          </w:tcPr>
          <w:p>
            <w:pPr>
              <w:spacing w:before="60" w:after="60"/>
              <w:ind w:left="72"/>
            </w:pPr>
            <w:r>
              <w:rPr>
                <w:rFonts w:ascii="Arial" w:hAnsi="Arial"/>
                <w:color w:val="1F1F1F"/>
                <w:sz w:val="19"/>
              </w:rPr>
              <w:t>Which sprint this was raised in</w:t>
            </w:r>
          </w:p>
        </w:tc>
      </w:tr>
      <w:tr>
        <w:tc>
          <w:tcPr>
            <w:tcW w:type="dxa" w:w="2160"/>
            <w:shd w:val="clear" w:color="auto" w:fill="FFFFFF"/>
          </w:tcPr>
          <w:p>
            <w:pPr>
              <w:spacing w:before="60" w:after="60"/>
              <w:ind w:left="72"/>
            </w:pPr>
            <w:r>
              <w:rPr>
                <w:rFonts w:ascii="Arial" w:hAnsi="Arial"/>
                <w:color w:val="1F1F1F"/>
                <w:sz w:val="19"/>
              </w:rPr>
              <w:t>Engagement</w:t>
            </w:r>
          </w:p>
        </w:tc>
        <w:tc>
          <w:tcPr>
            <w:tcW w:type="dxa" w:w="2448"/>
            <w:shd w:val="clear" w:color="auto" w:fill="FFFFFF"/>
          </w:tcPr>
          <w:p>
            <w:pPr>
              <w:spacing w:before="60" w:after="60"/>
              <w:ind w:left="72"/>
            </w:pPr>
            <w:r>
              <w:rPr>
                <w:rFonts w:ascii="Arial" w:hAnsi="Arial"/>
                <w:color w:val="1F1F1F"/>
                <w:sz w:val="19"/>
              </w:rPr>
              <w:t>Reference → Engagement</w:t>
            </w:r>
          </w:p>
        </w:tc>
        <w:tc>
          <w:tcPr>
            <w:tcW w:type="dxa" w:w="4752"/>
            <w:shd w:val="clear" w:color="auto" w:fill="FFFFFF"/>
          </w:tcPr>
          <w:p>
            <w:pPr>
              <w:spacing w:before="60" w:after="60"/>
              <w:ind w:left="72"/>
            </w:pPr>
            <w:r>
              <w:rPr>
                <w:rFonts w:ascii="Arial" w:hAnsi="Arial"/>
                <w:color w:val="1F1F1F"/>
                <w:sz w:val="19"/>
              </w:rPr>
              <w:t>Parent engagement</w:t>
            </w:r>
          </w:p>
        </w:tc>
      </w:tr>
      <w:tr>
        <w:tc>
          <w:tcPr>
            <w:tcW w:type="dxa" w:w="2160"/>
            <w:shd w:val="clear" w:color="auto" w:fill="F2F2F2"/>
          </w:tcPr>
          <w:p>
            <w:pPr>
              <w:spacing w:before="60" w:after="60"/>
              <w:ind w:left="72"/>
            </w:pPr>
            <w:r>
              <w:rPr>
                <w:rFonts w:ascii="Arial" w:hAnsi="Arial"/>
                <w:color w:val="1F1F1F"/>
                <w:sz w:val="19"/>
              </w:rPr>
              <w:t>Probability</w:t>
            </w:r>
          </w:p>
        </w:tc>
        <w:tc>
          <w:tcPr>
            <w:tcW w:type="dxa" w:w="2448"/>
            <w:shd w:val="clear" w:color="auto" w:fill="F2F2F2"/>
          </w:tcPr>
          <w:p>
            <w:pPr>
              <w:spacing w:before="60" w:after="60"/>
              <w:ind w:left="72"/>
            </w:pPr>
            <w:r>
              <w:rPr>
                <w:rFonts w:ascii="Arial" w:hAnsi="Arial"/>
                <w:color w:val="1F1F1F"/>
                <w:sz w:val="19"/>
              </w:rPr>
              <w:t>Choice: Low/Med/High</w:t>
            </w:r>
          </w:p>
        </w:tc>
        <w:tc>
          <w:tcPr>
            <w:tcW w:type="dxa" w:w="4752"/>
            <w:shd w:val="clear" w:color="auto" w:fill="F2F2F2"/>
          </w:tcPr>
          <w:p>
            <w:pPr>
              <w:spacing w:before="60" w:after="60"/>
              <w:ind w:left="72"/>
            </w:pPr>
            <w:r>
              <w:rPr>
                <w:rFonts w:ascii="Arial" w:hAnsi="Arial"/>
                <w:color w:val="1F1F1F"/>
                <w:sz w:val="19"/>
              </w:rPr>
              <w:t>For risks only</w:t>
            </w:r>
          </w:p>
        </w:tc>
      </w:tr>
      <w:tr>
        <w:tc>
          <w:tcPr>
            <w:tcW w:type="dxa" w:w="2160"/>
            <w:shd w:val="clear" w:color="auto" w:fill="FFFFFF"/>
          </w:tcPr>
          <w:p>
            <w:pPr>
              <w:spacing w:before="60" w:after="60"/>
              <w:ind w:left="72"/>
            </w:pPr>
            <w:r>
              <w:rPr>
                <w:rFonts w:ascii="Arial" w:hAnsi="Arial"/>
                <w:color w:val="1F1F1F"/>
                <w:sz w:val="19"/>
              </w:rPr>
              <w:t>Impact</w:t>
            </w:r>
          </w:p>
        </w:tc>
        <w:tc>
          <w:tcPr>
            <w:tcW w:type="dxa" w:w="2448"/>
            <w:shd w:val="clear" w:color="auto" w:fill="FFFFFF"/>
          </w:tcPr>
          <w:p>
            <w:pPr>
              <w:spacing w:before="60" w:after="60"/>
              <w:ind w:left="72"/>
            </w:pPr>
            <w:r>
              <w:rPr>
                <w:rFonts w:ascii="Arial" w:hAnsi="Arial"/>
                <w:color w:val="1F1F1F"/>
                <w:sz w:val="19"/>
              </w:rPr>
              <w:t>Choice: Low/Med/High</w:t>
            </w:r>
          </w:p>
        </w:tc>
        <w:tc>
          <w:tcPr>
            <w:tcW w:type="dxa" w:w="4752"/>
            <w:shd w:val="clear" w:color="auto" w:fill="FFFFFF"/>
          </w:tcPr>
          <w:p>
            <w:pPr>
              <w:spacing w:before="60" w:after="60"/>
              <w:ind w:left="72"/>
            </w:pPr>
            <w:r>
              <w:rPr>
                <w:rFonts w:ascii="Arial" w:hAnsi="Arial"/>
                <w:color w:val="1F1F1F"/>
                <w:sz w:val="19"/>
              </w:rPr>
              <w:t>Severity if realized</w:t>
            </w:r>
          </w:p>
        </w:tc>
      </w:tr>
      <w:tr>
        <w:tc>
          <w:tcPr>
            <w:tcW w:type="dxa" w:w="2160"/>
            <w:shd w:val="clear" w:color="auto" w:fill="F2F2F2"/>
          </w:tcPr>
          <w:p>
            <w:pPr>
              <w:spacing w:before="60" w:after="60"/>
              <w:ind w:left="72"/>
            </w:pPr>
            <w:r>
              <w:rPr>
                <w:rFonts w:ascii="Arial" w:hAnsi="Arial"/>
                <w:color w:val="1F1F1F"/>
                <w:sz w:val="19"/>
              </w:rPr>
              <w:t>Owner</w:t>
            </w:r>
          </w:p>
        </w:tc>
        <w:tc>
          <w:tcPr>
            <w:tcW w:type="dxa" w:w="2448"/>
            <w:shd w:val="clear" w:color="auto" w:fill="F2F2F2"/>
          </w:tcPr>
          <w:p>
            <w:pPr>
              <w:spacing w:before="60" w:after="60"/>
              <w:ind w:left="72"/>
            </w:pPr>
            <w:r>
              <w:rPr>
                <w:rFonts w:ascii="Arial" w:hAnsi="Arial"/>
                <w:color w:val="1F1F1F"/>
                <w:sz w:val="19"/>
              </w:rPr>
              <w:t>Reference → User</w:t>
            </w:r>
          </w:p>
        </w:tc>
        <w:tc>
          <w:tcPr>
            <w:tcW w:type="dxa" w:w="4752"/>
            <w:shd w:val="clear" w:color="auto" w:fill="F2F2F2"/>
          </w:tcPr>
          <w:p>
            <w:pPr>
              <w:spacing w:before="60" w:after="60"/>
              <w:ind w:left="72"/>
            </w:pPr>
            <w:r>
              <w:rPr>
                <w:rFonts w:ascii="Arial" w:hAnsi="Arial"/>
                <w:color w:val="1F1F1F"/>
                <w:sz w:val="19"/>
              </w:rPr>
              <w:t>Who is resolving it</w:t>
            </w:r>
          </w:p>
        </w:tc>
      </w:tr>
      <w:tr>
        <w:tc>
          <w:tcPr>
            <w:tcW w:type="dxa" w:w="2160"/>
            <w:shd w:val="clear" w:color="auto" w:fill="FFFFFF"/>
          </w:tcPr>
          <w:p>
            <w:pPr>
              <w:spacing w:before="60" w:after="60"/>
              <w:ind w:left="72"/>
            </w:pPr>
            <w:r>
              <w:rPr>
                <w:rFonts w:ascii="Arial" w:hAnsi="Arial"/>
                <w:color w:val="1F1F1F"/>
                <w:sz w:val="19"/>
              </w:rPr>
              <w:t>Status</w:t>
            </w:r>
          </w:p>
        </w:tc>
        <w:tc>
          <w:tcPr>
            <w:tcW w:type="dxa" w:w="2448"/>
            <w:shd w:val="clear" w:color="auto" w:fill="FFFFFF"/>
          </w:tcPr>
          <w:p>
            <w:pPr>
              <w:spacing w:before="60" w:after="60"/>
              <w:ind w:left="72"/>
            </w:pPr>
            <w:r>
              <w:rPr>
                <w:rFonts w:ascii="Arial" w:hAnsi="Arial"/>
                <w:color w:val="1F1F1F"/>
                <w:sz w:val="19"/>
              </w:rPr>
              <w:t>Choice</w:t>
            </w:r>
          </w:p>
        </w:tc>
        <w:tc>
          <w:tcPr>
            <w:tcW w:type="dxa" w:w="4752"/>
            <w:shd w:val="clear" w:color="auto" w:fill="FFFFFF"/>
          </w:tcPr>
          <w:p>
            <w:pPr>
              <w:spacing w:before="60" w:after="60"/>
              <w:ind w:left="72"/>
            </w:pPr>
            <w:r>
              <w:rPr>
                <w:rFonts w:ascii="Arial" w:hAnsi="Arial"/>
                <w:color w:val="1F1F1F"/>
                <w:sz w:val="19"/>
              </w:rPr>
              <w:t>Open, Mitigated, Closed, Escalated</w:t>
            </w:r>
          </w:p>
        </w:tc>
      </w:tr>
      <w:tr>
        <w:tc>
          <w:tcPr>
            <w:tcW w:type="dxa" w:w="2160"/>
            <w:shd w:val="clear" w:color="auto" w:fill="F2F2F2"/>
          </w:tcPr>
          <w:p>
            <w:pPr>
              <w:spacing w:before="60" w:after="60"/>
              <w:ind w:left="72"/>
            </w:pPr>
            <w:r>
              <w:rPr>
                <w:rFonts w:ascii="Arial" w:hAnsi="Arial"/>
                <w:color w:val="1F1F1F"/>
                <w:sz w:val="19"/>
              </w:rPr>
              <w:t>Mitigation Plan</w:t>
            </w:r>
          </w:p>
        </w:tc>
        <w:tc>
          <w:tcPr>
            <w:tcW w:type="dxa" w:w="2448"/>
            <w:shd w:val="clear" w:color="auto" w:fill="F2F2F2"/>
          </w:tcPr>
          <w:p>
            <w:pPr>
              <w:spacing w:before="60" w:after="60"/>
              <w:ind w:left="72"/>
            </w:pPr>
            <w:r>
              <w:rPr>
                <w:rFonts w:ascii="Arial" w:hAnsi="Arial"/>
                <w:color w:val="1F1F1F"/>
                <w:sz w:val="19"/>
              </w:rPr>
              <w:t>String</w:t>
            </w:r>
          </w:p>
        </w:tc>
        <w:tc>
          <w:tcPr>
            <w:tcW w:type="dxa" w:w="4752"/>
            <w:shd w:val="clear" w:color="auto" w:fill="F2F2F2"/>
          </w:tcPr>
          <w:p>
            <w:pPr>
              <w:spacing w:before="60" w:after="60"/>
              <w:ind w:left="72"/>
            </w:pPr>
            <w:r>
              <w:rPr>
                <w:rFonts w:ascii="Arial" w:hAnsi="Arial"/>
                <w:color w:val="1F1F1F"/>
                <w:sz w:val="19"/>
              </w:rPr>
              <w:t>Documented mitigation steps</w:t>
            </w:r>
          </w:p>
        </w:tc>
      </w:tr>
      <w:tr>
        <w:tc>
          <w:tcPr>
            <w:tcW w:type="dxa" w:w="2160"/>
            <w:shd w:val="clear" w:color="auto" w:fill="FFFFFF"/>
          </w:tcPr>
          <w:p>
            <w:pPr>
              <w:spacing w:before="60" w:after="60"/>
              <w:ind w:left="72"/>
            </w:pPr>
            <w:r>
              <w:rPr>
                <w:rFonts w:ascii="Arial" w:hAnsi="Arial"/>
                <w:color w:val="1F1F1F"/>
                <w:sz w:val="19"/>
              </w:rPr>
              <w:t>Due Date</w:t>
            </w:r>
          </w:p>
        </w:tc>
        <w:tc>
          <w:tcPr>
            <w:tcW w:type="dxa" w:w="2448"/>
            <w:shd w:val="clear" w:color="auto" w:fill="FFFFFF"/>
          </w:tcPr>
          <w:p>
            <w:pPr>
              <w:spacing w:before="60" w:after="60"/>
              <w:ind w:left="72"/>
            </w:pPr>
            <w:r>
              <w:rPr>
                <w:rFonts w:ascii="Arial" w:hAnsi="Arial"/>
                <w:color w:val="1F1F1F"/>
                <w:sz w:val="19"/>
              </w:rPr>
              <w:t>Date</w:t>
            </w:r>
          </w:p>
        </w:tc>
        <w:tc>
          <w:tcPr>
            <w:tcW w:type="dxa" w:w="4752"/>
            <w:shd w:val="clear" w:color="auto" w:fill="FFFFFF"/>
          </w:tcPr>
          <w:p>
            <w:pPr>
              <w:spacing w:before="60" w:after="60"/>
              <w:ind w:left="72"/>
            </w:pPr>
            <w:r>
              <w:rPr>
                <w:rFonts w:ascii="Arial" w:hAnsi="Arial"/>
                <w:color w:val="1F1F1F"/>
                <w:sz w:val="19"/>
              </w:rPr>
              <w:t>Target resolution date</w:t>
            </w:r>
          </w:p>
        </w:tc>
      </w:tr>
    </w:tbl>
    <w:p>
      <w:pPr>
        <w:spacing w:after="120"/>
      </w:pPr>
    </w:p>
    <w:p>
      <w:pPr>
        <w:spacing w:before="160" w:after="60"/>
      </w:pPr>
      <w:r>
        <w:rPr>
          <w:rFonts w:ascii="Arial" w:hAnsi="Arial"/>
          <w:b/>
          <w:color w:val="1B3A6B"/>
          <w:sz w:val="22"/>
        </w:rPr>
        <w:t>Decision Record  [x_everforth_ecs_dip_decision]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448"/>
            <w:shd w:val="clear" w:color="auto" w:fill="1B3A6B"/>
          </w:tcPr>
          <w:p>
            <w:pPr>
              <w:spacing w:before="80" w:after="80"/>
              <w:ind w:left="72"/>
            </w:pPr>
            <w:r>
              <w:rPr>
                <w:rFonts w:ascii="Arial" w:hAnsi="Arial"/>
                <w:b/>
                <w:color w:val="FFFFFF"/>
                <w:sz w:val="20"/>
              </w:rPr>
              <w:t>Field</w:t>
            </w:r>
          </w:p>
        </w:tc>
        <w:tc>
          <w:tcPr>
            <w:tcW w:type="dxa" w:w="2160"/>
            <w:shd w:val="clear" w:color="auto" w:fill="1B3A6B"/>
          </w:tcPr>
          <w:p>
            <w:pPr>
              <w:spacing w:before="80" w:after="80"/>
              <w:ind w:left="72"/>
            </w:pPr>
            <w:r>
              <w:rPr>
                <w:rFonts w:ascii="Arial" w:hAnsi="Arial"/>
                <w:b/>
                <w:color w:val="FFFFFF"/>
                <w:sz w:val="20"/>
              </w:rPr>
              <w:t>Type</w:t>
            </w:r>
          </w:p>
        </w:tc>
        <w:tc>
          <w:tcPr>
            <w:tcW w:type="dxa" w:w="4752"/>
            <w:shd w:val="clear" w:color="auto" w:fill="1B3A6B"/>
          </w:tcPr>
          <w:p>
            <w:pPr>
              <w:spacing w:before="80" w:after="80"/>
              <w:ind w:left="72"/>
            </w:pPr>
            <w:r>
              <w:rPr>
                <w:rFonts w:ascii="Arial" w:hAnsi="Arial"/>
                <w:b/>
                <w:color w:val="FFFFFF"/>
                <w:sz w:val="20"/>
              </w:rPr>
              <w:t>Purpose</w:t>
            </w:r>
          </w:p>
        </w:tc>
      </w:tr>
      <w:tr>
        <w:tc>
          <w:tcPr>
            <w:tcW w:type="dxa" w:w="2448"/>
            <w:shd w:val="clear" w:color="auto" w:fill="F2F2F2"/>
          </w:tcPr>
          <w:p>
            <w:pPr>
              <w:spacing w:before="60" w:after="60"/>
              <w:ind w:left="72"/>
            </w:pPr>
            <w:r>
              <w:rPr>
                <w:rFonts w:ascii="Arial" w:hAnsi="Arial"/>
                <w:color w:val="1F1F1F"/>
                <w:sz w:val="19"/>
              </w:rPr>
              <w:t>Decision Required</w:t>
            </w:r>
          </w:p>
        </w:tc>
        <w:tc>
          <w:tcPr>
            <w:tcW w:type="dxa" w:w="2160"/>
            <w:shd w:val="clear" w:color="auto" w:fill="F2F2F2"/>
          </w:tcPr>
          <w:p>
            <w:pPr>
              <w:spacing w:before="60" w:after="60"/>
              <w:ind w:left="72"/>
            </w:pPr>
            <w:r>
              <w:rPr>
                <w:rFonts w:ascii="Arial" w:hAnsi="Arial"/>
                <w:color w:val="1F1F1F"/>
                <w:sz w:val="19"/>
              </w:rPr>
              <w:t>String</w:t>
            </w:r>
          </w:p>
        </w:tc>
        <w:tc>
          <w:tcPr>
            <w:tcW w:type="dxa" w:w="4752"/>
            <w:shd w:val="clear" w:color="auto" w:fill="F2F2F2"/>
          </w:tcPr>
          <w:p>
            <w:pPr>
              <w:spacing w:before="60" w:after="60"/>
              <w:ind w:left="72"/>
            </w:pPr>
            <w:r>
              <w:rPr>
                <w:rFonts w:ascii="Arial" w:hAnsi="Arial"/>
                <w:color w:val="1F1F1F"/>
                <w:sz w:val="19"/>
              </w:rPr>
              <w:t>What needs to be decided</w:t>
            </w:r>
          </w:p>
        </w:tc>
      </w:tr>
      <w:tr>
        <w:tc>
          <w:tcPr>
            <w:tcW w:type="dxa" w:w="2448"/>
            <w:shd w:val="clear" w:color="auto" w:fill="FFFFFF"/>
          </w:tcPr>
          <w:p>
            <w:pPr>
              <w:spacing w:before="60" w:after="60"/>
              <w:ind w:left="72"/>
            </w:pPr>
            <w:r>
              <w:rPr>
                <w:rFonts w:ascii="Arial" w:hAnsi="Arial"/>
                <w:color w:val="1F1F1F"/>
                <w:sz w:val="19"/>
              </w:rPr>
              <w:t>Workstream</w:t>
            </w:r>
          </w:p>
        </w:tc>
        <w:tc>
          <w:tcPr>
            <w:tcW w:type="dxa" w:w="2160"/>
            <w:shd w:val="clear" w:color="auto" w:fill="FFFFFF"/>
          </w:tcPr>
          <w:p>
            <w:pPr>
              <w:spacing w:before="60" w:after="60"/>
              <w:ind w:left="72"/>
            </w:pPr>
            <w:r>
              <w:rPr>
                <w:rFonts w:ascii="Arial" w:hAnsi="Arial"/>
                <w:color w:val="1F1F1F"/>
                <w:sz w:val="19"/>
              </w:rPr>
              <w:t>Choice</w:t>
            </w:r>
          </w:p>
        </w:tc>
        <w:tc>
          <w:tcPr>
            <w:tcW w:type="dxa" w:w="4752"/>
            <w:shd w:val="clear" w:color="auto" w:fill="FFFFFF"/>
          </w:tcPr>
          <w:p>
            <w:pPr>
              <w:spacing w:before="60" w:after="60"/>
              <w:ind w:left="72"/>
            </w:pPr>
            <w:r>
              <w:rPr>
                <w:rFonts w:ascii="Arial" w:hAnsi="Arial"/>
                <w:color w:val="1F1F1F"/>
                <w:sz w:val="19"/>
              </w:rPr>
              <w:t>ITSM, Catalog, CMDB, HAM, VA, etc.</w:t>
            </w:r>
          </w:p>
        </w:tc>
      </w:tr>
      <w:tr>
        <w:tc>
          <w:tcPr>
            <w:tcW w:type="dxa" w:w="2448"/>
            <w:shd w:val="clear" w:color="auto" w:fill="F2F2F2"/>
          </w:tcPr>
          <w:p>
            <w:pPr>
              <w:spacing w:before="60" w:after="60"/>
              <w:ind w:left="72"/>
            </w:pPr>
            <w:r>
              <w:rPr>
                <w:rFonts w:ascii="Arial" w:hAnsi="Arial"/>
                <w:color w:val="1F1F1F"/>
                <w:sz w:val="19"/>
              </w:rPr>
              <w:t>Sprint Gate</w:t>
            </w:r>
          </w:p>
        </w:tc>
        <w:tc>
          <w:tcPr>
            <w:tcW w:type="dxa" w:w="2160"/>
            <w:shd w:val="clear" w:color="auto" w:fill="F2F2F2"/>
          </w:tcPr>
          <w:p>
            <w:pPr>
              <w:spacing w:before="60" w:after="60"/>
              <w:ind w:left="72"/>
            </w:pPr>
            <w:r>
              <w:rPr>
                <w:rFonts w:ascii="Arial" w:hAnsi="Arial"/>
                <w:color w:val="1F1F1F"/>
                <w:sz w:val="19"/>
              </w:rPr>
              <w:t>Reference → Sprint Gate</w:t>
            </w:r>
          </w:p>
        </w:tc>
        <w:tc>
          <w:tcPr>
            <w:tcW w:type="dxa" w:w="4752"/>
            <w:shd w:val="clear" w:color="auto" w:fill="F2F2F2"/>
          </w:tcPr>
          <w:p>
            <w:pPr>
              <w:spacing w:before="60" w:after="60"/>
              <w:ind w:left="72"/>
            </w:pPr>
            <w:r>
              <w:rPr>
                <w:rFonts w:ascii="Arial" w:hAnsi="Arial"/>
                <w:color w:val="1F1F1F"/>
                <w:sz w:val="19"/>
              </w:rPr>
              <w:t>Sprint in which decision is needed</w:t>
            </w:r>
          </w:p>
        </w:tc>
      </w:tr>
      <w:tr>
        <w:tc>
          <w:tcPr>
            <w:tcW w:type="dxa" w:w="2448"/>
            <w:shd w:val="clear" w:color="auto" w:fill="FFFFFF"/>
          </w:tcPr>
          <w:p>
            <w:pPr>
              <w:spacing w:before="60" w:after="60"/>
              <w:ind w:left="72"/>
            </w:pPr>
            <w:r>
              <w:rPr>
                <w:rFonts w:ascii="Arial" w:hAnsi="Arial"/>
                <w:color w:val="1F1F1F"/>
                <w:sz w:val="19"/>
              </w:rPr>
              <w:t>Decision Owner</w:t>
            </w:r>
          </w:p>
        </w:tc>
        <w:tc>
          <w:tcPr>
            <w:tcW w:type="dxa" w:w="2160"/>
            <w:shd w:val="clear" w:color="auto" w:fill="FFFFFF"/>
          </w:tcPr>
          <w:p>
            <w:pPr>
              <w:spacing w:before="60" w:after="60"/>
              <w:ind w:left="72"/>
            </w:pPr>
            <w:r>
              <w:rPr>
                <w:rFonts w:ascii="Arial" w:hAnsi="Arial"/>
                <w:color w:val="1F1F1F"/>
                <w:sz w:val="19"/>
              </w:rPr>
              <w:t>Reference → User</w:t>
            </w:r>
          </w:p>
        </w:tc>
        <w:tc>
          <w:tcPr>
            <w:tcW w:type="dxa" w:w="4752"/>
            <w:shd w:val="clear" w:color="auto" w:fill="FFFFFF"/>
          </w:tcPr>
          <w:p>
            <w:pPr>
              <w:spacing w:before="60" w:after="60"/>
              <w:ind w:left="72"/>
            </w:pPr>
            <w:r>
              <w:rPr>
                <w:rFonts w:ascii="Arial" w:hAnsi="Arial"/>
                <w:color w:val="1F1F1F"/>
                <w:sz w:val="19"/>
              </w:rPr>
              <w:t>Customer stakeholder who must decide</w:t>
            </w:r>
          </w:p>
        </w:tc>
      </w:tr>
      <w:tr>
        <w:tc>
          <w:tcPr>
            <w:tcW w:type="dxa" w:w="2448"/>
            <w:shd w:val="clear" w:color="auto" w:fill="F2F2F2"/>
          </w:tcPr>
          <w:p>
            <w:pPr>
              <w:spacing w:before="60" w:after="60"/>
              <w:ind w:left="72"/>
            </w:pPr>
            <w:r>
              <w:rPr>
                <w:rFonts w:ascii="Arial" w:hAnsi="Arial"/>
                <w:color w:val="1F1F1F"/>
                <w:sz w:val="19"/>
              </w:rPr>
              <w:t>Options Presented</w:t>
            </w:r>
          </w:p>
        </w:tc>
        <w:tc>
          <w:tcPr>
            <w:tcW w:type="dxa" w:w="2160"/>
            <w:shd w:val="clear" w:color="auto" w:fill="F2F2F2"/>
          </w:tcPr>
          <w:p>
            <w:pPr>
              <w:spacing w:before="60" w:after="60"/>
              <w:ind w:left="72"/>
            </w:pPr>
            <w:r>
              <w:rPr>
                <w:rFonts w:ascii="Arial" w:hAnsi="Arial"/>
                <w:color w:val="1F1F1F"/>
                <w:sz w:val="19"/>
              </w:rPr>
              <w:t>String</w:t>
            </w:r>
          </w:p>
        </w:tc>
        <w:tc>
          <w:tcPr>
            <w:tcW w:type="dxa" w:w="4752"/>
            <w:shd w:val="clear" w:color="auto" w:fill="F2F2F2"/>
          </w:tcPr>
          <w:p>
            <w:pPr>
              <w:spacing w:before="60" w:after="60"/>
              <w:ind w:left="72"/>
            </w:pPr>
            <w:r>
              <w:rPr>
                <w:rFonts w:ascii="Arial" w:hAnsi="Arial"/>
                <w:color w:val="1F1F1F"/>
                <w:sz w:val="19"/>
              </w:rPr>
              <w:t>OOTB option vs. alternatives offered</w:t>
            </w:r>
          </w:p>
        </w:tc>
      </w:tr>
      <w:tr>
        <w:tc>
          <w:tcPr>
            <w:tcW w:type="dxa" w:w="2448"/>
            <w:shd w:val="clear" w:color="auto" w:fill="FFFFFF"/>
          </w:tcPr>
          <w:p>
            <w:pPr>
              <w:spacing w:before="60" w:after="60"/>
              <w:ind w:left="72"/>
            </w:pPr>
            <w:r>
              <w:rPr>
                <w:rFonts w:ascii="Arial" w:hAnsi="Arial"/>
                <w:color w:val="1F1F1F"/>
                <w:sz w:val="19"/>
              </w:rPr>
              <w:t>Decision Made</w:t>
            </w:r>
          </w:p>
        </w:tc>
        <w:tc>
          <w:tcPr>
            <w:tcW w:type="dxa" w:w="2160"/>
            <w:shd w:val="clear" w:color="auto" w:fill="FFFFFF"/>
          </w:tcPr>
          <w:p>
            <w:pPr>
              <w:spacing w:before="60" w:after="60"/>
              <w:ind w:left="72"/>
            </w:pPr>
            <w:r>
              <w:rPr>
                <w:rFonts w:ascii="Arial" w:hAnsi="Arial"/>
                <w:color w:val="1F1F1F"/>
                <w:sz w:val="19"/>
              </w:rPr>
              <w:t>String</w:t>
            </w:r>
          </w:p>
        </w:tc>
        <w:tc>
          <w:tcPr>
            <w:tcW w:type="dxa" w:w="4752"/>
            <w:shd w:val="clear" w:color="auto" w:fill="FFFFFF"/>
          </w:tcPr>
          <w:p>
            <w:pPr>
              <w:spacing w:before="60" w:after="60"/>
              <w:ind w:left="72"/>
            </w:pPr>
            <w:r>
              <w:rPr>
                <w:rFonts w:ascii="Arial" w:hAnsi="Arial"/>
                <w:color w:val="1F1F1F"/>
                <w:sz w:val="19"/>
              </w:rPr>
              <w:t>Recorded outcome</w:t>
            </w:r>
          </w:p>
        </w:tc>
      </w:tr>
      <w:tr>
        <w:tc>
          <w:tcPr>
            <w:tcW w:type="dxa" w:w="2448"/>
            <w:shd w:val="clear" w:color="auto" w:fill="F2F2F2"/>
          </w:tcPr>
          <w:p>
            <w:pPr>
              <w:spacing w:before="60" w:after="60"/>
              <w:ind w:left="72"/>
            </w:pPr>
            <w:r>
              <w:rPr>
                <w:rFonts w:ascii="Arial" w:hAnsi="Arial"/>
                <w:color w:val="1F1F1F"/>
                <w:sz w:val="19"/>
              </w:rPr>
              <w:t>Status</w:t>
            </w:r>
          </w:p>
        </w:tc>
        <w:tc>
          <w:tcPr>
            <w:tcW w:type="dxa" w:w="2160"/>
            <w:shd w:val="clear" w:color="auto" w:fill="F2F2F2"/>
          </w:tcPr>
          <w:p>
            <w:pPr>
              <w:spacing w:before="60" w:after="60"/>
              <w:ind w:left="72"/>
            </w:pPr>
            <w:r>
              <w:rPr>
                <w:rFonts w:ascii="Arial" w:hAnsi="Arial"/>
                <w:color w:val="1F1F1F"/>
                <w:sz w:val="19"/>
              </w:rPr>
              <w:t>Choice</w:t>
            </w:r>
          </w:p>
        </w:tc>
        <w:tc>
          <w:tcPr>
            <w:tcW w:type="dxa" w:w="4752"/>
            <w:shd w:val="clear" w:color="auto" w:fill="F2F2F2"/>
          </w:tcPr>
          <w:p>
            <w:pPr>
              <w:spacing w:before="60" w:after="60"/>
              <w:ind w:left="72"/>
            </w:pPr>
            <w:r>
              <w:rPr>
                <w:rFonts w:ascii="Arial" w:hAnsi="Arial"/>
                <w:color w:val="1F1F1F"/>
                <w:sz w:val="19"/>
              </w:rPr>
              <w:t>Open, Decided, Deferred, Escalated</w:t>
            </w:r>
          </w:p>
        </w:tc>
      </w:tr>
      <w:tr>
        <w:tc>
          <w:tcPr>
            <w:tcW w:type="dxa" w:w="2448"/>
            <w:shd w:val="clear" w:color="auto" w:fill="FFFFFF"/>
          </w:tcPr>
          <w:p>
            <w:pPr>
              <w:spacing w:before="60" w:after="60"/>
              <w:ind w:left="72"/>
            </w:pPr>
            <w:r>
              <w:rPr>
                <w:rFonts w:ascii="Arial" w:hAnsi="Arial"/>
                <w:color w:val="1F1F1F"/>
                <w:sz w:val="19"/>
              </w:rPr>
              <w:t>Impact if Deferred</w:t>
            </w:r>
          </w:p>
        </w:tc>
        <w:tc>
          <w:tcPr>
            <w:tcW w:type="dxa" w:w="2160"/>
            <w:shd w:val="clear" w:color="auto" w:fill="FFFFFF"/>
          </w:tcPr>
          <w:p>
            <w:pPr>
              <w:spacing w:before="60" w:after="60"/>
              <w:ind w:left="72"/>
            </w:pPr>
            <w:r>
              <w:rPr>
                <w:rFonts w:ascii="Arial" w:hAnsi="Arial"/>
                <w:color w:val="1F1F1F"/>
                <w:sz w:val="19"/>
              </w:rPr>
              <w:t>String</w:t>
            </w:r>
          </w:p>
        </w:tc>
        <w:tc>
          <w:tcPr>
            <w:tcW w:type="dxa" w:w="4752"/>
            <w:shd w:val="clear" w:color="auto" w:fill="FFFFFF"/>
          </w:tcPr>
          <w:p>
            <w:pPr>
              <w:spacing w:before="60" w:after="60"/>
              <w:ind w:left="72"/>
            </w:pPr>
            <w:r>
              <w:rPr>
                <w:rFonts w:ascii="Arial" w:hAnsi="Arial"/>
                <w:color w:val="1F1F1F"/>
                <w:sz w:val="19"/>
              </w:rPr>
              <w:t>What delays if not resolved</w:t>
            </w:r>
          </w:p>
        </w:tc>
      </w:tr>
      <w:tr>
        <w:tc>
          <w:tcPr>
            <w:tcW w:type="dxa" w:w="2448"/>
            <w:shd w:val="clear" w:color="auto" w:fill="F2F2F2"/>
          </w:tcPr>
          <w:p>
            <w:pPr>
              <w:spacing w:before="60" w:after="60"/>
              <w:ind w:left="72"/>
            </w:pPr>
            <w:r>
              <w:rPr>
                <w:rFonts w:ascii="Arial" w:hAnsi="Arial"/>
                <w:color w:val="1F1F1F"/>
                <w:sz w:val="19"/>
              </w:rPr>
              <w:t>Date Decided</w:t>
            </w:r>
          </w:p>
        </w:tc>
        <w:tc>
          <w:tcPr>
            <w:tcW w:type="dxa" w:w="2160"/>
            <w:shd w:val="clear" w:color="auto" w:fill="F2F2F2"/>
          </w:tcPr>
          <w:p>
            <w:pPr>
              <w:spacing w:before="60" w:after="60"/>
              <w:ind w:left="72"/>
            </w:pPr>
            <w:r>
              <w:rPr>
                <w:rFonts w:ascii="Arial" w:hAnsi="Arial"/>
                <w:color w:val="1F1F1F"/>
                <w:sz w:val="19"/>
              </w:rPr>
              <w:t>Date</w:t>
            </w:r>
          </w:p>
        </w:tc>
        <w:tc>
          <w:tcPr>
            <w:tcW w:type="dxa" w:w="4752"/>
            <w:shd w:val="clear" w:color="auto" w:fill="F2F2F2"/>
          </w:tcPr>
          <w:p>
            <w:pPr>
              <w:spacing w:before="60" w:after="60"/>
              <w:ind w:left="72"/>
            </w:pPr>
            <w:r>
              <w:rPr>
                <w:rFonts w:ascii="Arial" w:hAnsi="Arial"/>
                <w:color w:val="1F1F1F"/>
                <w:sz w:val="19"/>
              </w:rPr>
              <w:t>When the decision was made</w:t>
            </w:r>
          </w:p>
        </w:tc>
      </w:tr>
    </w:tbl>
    <w:p>
      <w:pPr>
        <w:spacing w:after="120"/>
      </w:pPr>
    </w:p>
    <w:p>
      <w:pPr>
        <w:spacing w:before="160" w:after="60"/>
      </w:pPr>
      <w:r>
        <w:rPr>
          <w:rFonts w:ascii="Arial" w:hAnsi="Arial"/>
          <w:b/>
          <w:color w:val="1B3A6B"/>
          <w:sz w:val="22"/>
        </w:rPr>
        <w:t>Methodology Content  [x_everforth_ecs_dip_content]</w:t>
      </w:r>
    </w:p>
    <w:p>
      <w:pPr>
        <w:spacing w:before="0" w:after="80"/>
        <w:jc w:val="left"/>
      </w:pPr>
      <w:r>
        <w:rPr>
          <w:rFonts w:ascii="Arial" w:hAnsi="Arial"/>
          <w:b w:val="0"/>
          <w:i w:val="0"/>
          <w:color w:val="1F1F1F"/>
          <w:sz w:val="20"/>
        </w:rPr>
        <w:t>Stores methodology articles, how-to guides, and accelerator pack references. Rendered through the role-based portal. Tagged by role, sprint phase, and workstream so the right content surfaces automatically.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448"/>
            <w:shd w:val="clear" w:color="auto" w:fill="1B3A6B"/>
          </w:tcPr>
          <w:p>
            <w:pPr>
              <w:spacing w:before="80" w:after="80"/>
              <w:ind w:left="72"/>
            </w:pPr>
            <w:r>
              <w:rPr>
                <w:rFonts w:ascii="Arial" w:hAnsi="Arial"/>
                <w:b/>
                <w:color w:val="FFFFFF"/>
                <w:sz w:val="20"/>
              </w:rPr>
              <w:t>Field</w:t>
            </w:r>
          </w:p>
        </w:tc>
        <w:tc>
          <w:tcPr>
            <w:tcW w:type="dxa" w:w="2160"/>
            <w:shd w:val="clear" w:color="auto" w:fill="1B3A6B"/>
          </w:tcPr>
          <w:p>
            <w:pPr>
              <w:spacing w:before="80" w:after="80"/>
              <w:ind w:left="72"/>
            </w:pPr>
            <w:r>
              <w:rPr>
                <w:rFonts w:ascii="Arial" w:hAnsi="Arial"/>
                <w:b/>
                <w:color w:val="FFFFFF"/>
                <w:sz w:val="20"/>
              </w:rPr>
              <w:t>Type</w:t>
            </w:r>
          </w:p>
        </w:tc>
        <w:tc>
          <w:tcPr>
            <w:tcW w:type="dxa" w:w="4752"/>
            <w:shd w:val="clear" w:color="auto" w:fill="1B3A6B"/>
          </w:tcPr>
          <w:p>
            <w:pPr>
              <w:spacing w:before="80" w:after="80"/>
              <w:ind w:left="72"/>
            </w:pPr>
            <w:r>
              <w:rPr>
                <w:rFonts w:ascii="Arial" w:hAnsi="Arial"/>
                <w:b/>
                <w:color w:val="FFFFFF"/>
                <w:sz w:val="20"/>
              </w:rPr>
              <w:t>Purpose</w:t>
            </w:r>
          </w:p>
        </w:tc>
      </w:tr>
      <w:tr>
        <w:tc>
          <w:tcPr>
            <w:tcW w:type="dxa" w:w="2448"/>
            <w:shd w:val="clear" w:color="auto" w:fill="F2F2F2"/>
          </w:tcPr>
          <w:p>
            <w:pPr>
              <w:spacing w:before="60" w:after="60"/>
              <w:ind w:left="72"/>
            </w:pPr>
            <w:r>
              <w:rPr>
                <w:rFonts w:ascii="Arial" w:hAnsi="Arial"/>
                <w:color w:val="1F1F1F"/>
                <w:sz w:val="19"/>
              </w:rPr>
              <w:t>Title</w:t>
            </w:r>
          </w:p>
        </w:tc>
        <w:tc>
          <w:tcPr>
            <w:tcW w:type="dxa" w:w="2160"/>
            <w:shd w:val="clear" w:color="auto" w:fill="F2F2F2"/>
          </w:tcPr>
          <w:p>
            <w:pPr>
              <w:spacing w:before="60" w:after="60"/>
              <w:ind w:left="72"/>
            </w:pPr>
            <w:r>
              <w:rPr>
                <w:rFonts w:ascii="Arial" w:hAnsi="Arial"/>
                <w:color w:val="1F1F1F"/>
                <w:sz w:val="19"/>
              </w:rPr>
              <w:t>String</w:t>
            </w:r>
          </w:p>
        </w:tc>
        <w:tc>
          <w:tcPr>
            <w:tcW w:type="dxa" w:w="4752"/>
            <w:shd w:val="clear" w:color="auto" w:fill="F2F2F2"/>
          </w:tcPr>
          <w:p>
            <w:pPr>
              <w:spacing w:before="60" w:after="60"/>
              <w:ind w:left="72"/>
            </w:pPr>
            <w:r>
              <w:rPr>
                <w:rFonts w:ascii="Arial" w:hAnsi="Arial"/>
                <w:color w:val="1F1F1F"/>
                <w:sz w:val="19"/>
              </w:rPr>
              <w:t>Content title</w:t>
            </w:r>
          </w:p>
        </w:tc>
      </w:tr>
      <w:tr>
        <w:tc>
          <w:tcPr>
            <w:tcW w:type="dxa" w:w="2448"/>
            <w:shd w:val="clear" w:color="auto" w:fill="FFFFFF"/>
          </w:tcPr>
          <w:p>
            <w:pPr>
              <w:spacing w:before="60" w:after="60"/>
              <w:ind w:left="72"/>
            </w:pPr>
            <w:r>
              <w:rPr>
                <w:rFonts w:ascii="Arial" w:hAnsi="Arial"/>
                <w:color w:val="1F1F1F"/>
                <w:sz w:val="19"/>
              </w:rPr>
              <w:t>Content Type</w:t>
            </w:r>
          </w:p>
        </w:tc>
        <w:tc>
          <w:tcPr>
            <w:tcW w:type="dxa" w:w="2160"/>
            <w:shd w:val="clear" w:color="auto" w:fill="FFFFFF"/>
          </w:tcPr>
          <w:p>
            <w:pPr>
              <w:spacing w:before="60" w:after="60"/>
              <w:ind w:left="72"/>
            </w:pPr>
            <w:r>
              <w:rPr>
                <w:rFonts w:ascii="Arial" w:hAnsi="Arial"/>
                <w:color w:val="1F1F1F"/>
                <w:sz w:val="19"/>
              </w:rPr>
              <w:t>Choice</w:t>
            </w:r>
          </w:p>
        </w:tc>
        <w:tc>
          <w:tcPr>
            <w:tcW w:type="dxa" w:w="4752"/>
            <w:shd w:val="clear" w:color="auto" w:fill="FFFFFF"/>
          </w:tcPr>
          <w:p>
            <w:pPr>
              <w:spacing w:before="60" w:after="60"/>
              <w:ind w:left="72"/>
            </w:pPr>
            <w:r>
              <w:rPr>
                <w:rFonts w:ascii="Arial" w:hAnsi="Arial"/>
                <w:color w:val="1F1F1F"/>
                <w:sz w:val="19"/>
              </w:rPr>
              <w:t>How-To Guide, Accelerator Pack, Decision Guide, Workshop Pre-Read, Cheatsheet</w:t>
            </w:r>
          </w:p>
        </w:tc>
      </w:tr>
      <w:tr>
        <w:tc>
          <w:tcPr>
            <w:tcW w:type="dxa" w:w="2448"/>
            <w:shd w:val="clear" w:color="auto" w:fill="F2F2F2"/>
          </w:tcPr>
          <w:p>
            <w:pPr>
              <w:spacing w:before="60" w:after="60"/>
              <w:ind w:left="72"/>
            </w:pPr>
            <w:r>
              <w:rPr>
                <w:rFonts w:ascii="Arial" w:hAnsi="Arial"/>
                <w:color w:val="1F1F1F"/>
                <w:sz w:val="19"/>
              </w:rPr>
              <w:t>Workstream</w:t>
            </w:r>
          </w:p>
        </w:tc>
        <w:tc>
          <w:tcPr>
            <w:tcW w:type="dxa" w:w="2160"/>
            <w:shd w:val="clear" w:color="auto" w:fill="F2F2F2"/>
          </w:tcPr>
          <w:p>
            <w:pPr>
              <w:spacing w:before="60" w:after="60"/>
              <w:ind w:left="72"/>
            </w:pPr>
            <w:r>
              <w:rPr>
                <w:rFonts w:ascii="Arial" w:hAnsi="Arial"/>
                <w:color w:val="1F1F1F"/>
                <w:sz w:val="19"/>
              </w:rPr>
              <w:t>Choice (multi)</w:t>
            </w:r>
          </w:p>
        </w:tc>
        <w:tc>
          <w:tcPr>
            <w:tcW w:type="dxa" w:w="4752"/>
            <w:shd w:val="clear" w:color="auto" w:fill="F2F2F2"/>
          </w:tcPr>
          <w:p>
            <w:pPr>
              <w:spacing w:before="60" w:after="60"/>
              <w:ind w:left="72"/>
            </w:pPr>
            <w:r>
              <w:rPr>
                <w:rFonts w:ascii="Arial" w:hAnsi="Arial"/>
                <w:color w:val="1F1F1F"/>
                <w:sz w:val="19"/>
              </w:rPr>
              <w:t>Which workstreams this applies to</w:t>
            </w:r>
          </w:p>
        </w:tc>
      </w:tr>
      <w:tr>
        <w:tc>
          <w:tcPr>
            <w:tcW w:type="dxa" w:w="2448"/>
            <w:shd w:val="clear" w:color="auto" w:fill="FFFFFF"/>
          </w:tcPr>
          <w:p>
            <w:pPr>
              <w:spacing w:before="60" w:after="60"/>
              <w:ind w:left="72"/>
            </w:pPr>
            <w:r>
              <w:rPr>
                <w:rFonts w:ascii="Arial" w:hAnsi="Arial"/>
                <w:color w:val="1F1F1F"/>
                <w:sz w:val="19"/>
              </w:rPr>
              <w:t>Applicable Sprint</w:t>
            </w:r>
          </w:p>
        </w:tc>
        <w:tc>
          <w:tcPr>
            <w:tcW w:type="dxa" w:w="2160"/>
            <w:shd w:val="clear" w:color="auto" w:fill="FFFFFF"/>
          </w:tcPr>
          <w:p>
            <w:pPr>
              <w:spacing w:before="60" w:after="60"/>
              <w:ind w:left="72"/>
            </w:pPr>
            <w:r>
              <w:rPr>
                <w:rFonts w:ascii="Arial" w:hAnsi="Arial"/>
                <w:color w:val="1F1F1F"/>
                <w:sz w:val="19"/>
              </w:rPr>
              <w:t>Choice (multi)</w:t>
            </w:r>
          </w:p>
        </w:tc>
        <w:tc>
          <w:tcPr>
            <w:tcW w:type="dxa" w:w="4752"/>
            <w:shd w:val="clear" w:color="auto" w:fill="FFFFFF"/>
          </w:tcPr>
          <w:p>
            <w:pPr>
              <w:spacing w:before="60" w:after="60"/>
              <w:ind w:left="72"/>
            </w:pPr>
            <w:r>
              <w:rPr>
                <w:rFonts w:ascii="Arial" w:hAnsi="Arial"/>
                <w:color w:val="1F1F1F"/>
                <w:sz w:val="19"/>
              </w:rPr>
              <w:t>Sprint 0, 1, 2, 3, 4, 5, 6</w:t>
            </w:r>
          </w:p>
        </w:tc>
      </w:tr>
      <w:tr>
        <w:tc>
          <w:tcPr>
            <w:tcW w:type="dxa" w:w="2448"/>
            <w:shd w:val="clear" w:color="auto" w:fill="F2F2F2"/>
          </w:tcPr>
          <w:p>
            <w:pPr>
              <w:spacing w:before="60" w:after="60"/>
              <w:ind w:left="72"/>
            </w:pPr>
            <w:r>
              <w:rPr>
                <w:rFonts w:ascii="Arial" w:hAnsi="Arial"/>
                <w:color w:val="1F1F1F"/>
                <w:sz w:val="19"/>
              </w:rPr>
              <w:t>Target Role</w:t>
            </w:r>
          </w:p>
        </w:tc>
        <w:tc>
          <w:tcPr>
            <w:tcW w:type="dxa" w:w="2160"/>
            <w:shd w:val="clear" w:color="auto" w:fill="F2F2F2"/>
          </w:tcPr>
          <w:p>
            <w:pPr>
              <w:spacing w:before="60" w:after="60"/>
              <w:ind w:left="72"/>
            </w:pPr>
            <w:r>
              <w:rPr>
                <w:rFonts w:ascii="Arial" w:hAnsi="Arial"/>
                <w:color w:val="1F1F1F"/>
                <w:sz w:val="19"/>
              </w:rPr>
              <w:t>Choice (multi)</w:t>
            </w:r>
          </w:p>
        </w:tc>
        <w:tc>
          <w:tcPr>
            <w:tcW w:type="dxa" w:w="4752"/>
            <w:shd w:val="clear" w:color="auto" w:fill="F2F2F2"/>
          </w:tcPr>
          <w:p>
            <w:pPr>
              <w:spacing w:before="60" w:after="60"/>
              <w:ind w:left="72"/>
            </w:pPr>
            <w:r>
              <w:rPr>
                <w:rFonts w:ascii="Arial" w:hAnsi="Arial"/>
                <w:color w:val="1F1F1F"/>
                <w:sz w:val="19"/>
              </w:rPr>
              <w:t>Delivery Manager, Architect, Consultant, Customer Sponsor, Process Owner</w:t>
            </w:r>
          </w:p>
        </w:tc>
      </w:tr>
      <w:tr>
        <w:tc>
          <w:tcPr>
            <w:tcW w:type="dxa" w:w="2448"/>
            <w:shd w:val="clear" w:color="auto" w:fill="FFFFFF"/>
          </w:tcPr>
          <w:p>
            <w:pPr>
              <w:spacing w:before="60" w:after="60"/>
              <w:ind w:left="72"/>
            </w:pPr>
            <w:r>
              <w:rPr>
                <w:rFonts w:ascii="Arial" w:hAnsi="Arial"/>
                <w:color w:val="1F1F1F"/>
                <w:sz w:val="19"/>
              </w:rPr>
              <w:t>Audience</w:t>
            </w:r>
          </w:p>
        </w:tc>
        <w:tc>
          <w:tcPr>
            <w:tcW w:type="dxa" w:w="2160"/>
            <w:shd w:val="clear" w:color="auto" w:fill="FFFFFF"/>
          </w:tcPr>
          <w:p>
            <w:pPr>
              <w:spacing w:before="60" w:after="60"/>
              <w:ind w:left="72"/>
            </w:pPr>
            <w:r>
              <w:rPr>
                <w:rFonts w:ascii="Arial" w:hAnsi="Arial"/>
                <w:color w:val="1F1F1F"/>
                <w:sz w:val="19"/>
              </w:rPr>
              <w:t>Choice</w:t>
            </w:r>
          </w:p>
        </w:tc>
        <w:tc>
          <w:tcPr>
            <w:tcW w:type="dxa" w:w="4752"/>
            <w:shd w:val="clear" w:color="auto" w:fill="FFFFFF"/>
          </w:tcPr>
          <w:p>
            <w:pPr>
              <w:spacing w:before="60" w:after="60"/>
              <w:ind w:left="72"/>
            </w:pPr>
            <w:r>
              <w:rPr>
                <w:rFonts w:ascii="Arial" w:hAnsi="Arial"/>
                <w:color w:val="1F1F1F"/>
                <w:sz w:val="19"/>
              </w:rPr>
              <w:t>Internal / Customer / Both</w:t>
            </w:r>
          </w:p>
        </w:tc>
      </w:tr>
      <w:tr>
        <w:tc>
          <w:tcPr>
            <w:tcW w:type="dxa" w:w="2448"/>
            <w:shd w:val="clear" w:color="auto" w:fill="F2F2F2"/>
          </w:tcPr>
          <w:p>
            <w:pPr>
              <w:spacing w:before="60" w:after="60"/>
              <w:ind w:left="72"/>
            </w:pPr>
            <w:r>
              <w:rPr>
                <w:rFonts w:ascii="Arial" w:hAnsi="Arial"/>
                <w:color w:val="1F1F1F"/>
                <w:sz w:val="19"/>
              </w:rPr>
              <w:t>Body</w:t>
            </w:r>
          </w:p>
        </w:tc>
        <w:tc>
          <w:tcPr>
            <w:tcW w:type="dxa" w:w="2160"/>
            <w:shd w:val="clear" w:color="auto" w:fill="F2F2F2"/>
          </w:tcPr>
          <w:p>
            <w:pPr>
              <w:spacing w:before="60" w:after="60"/>
              <w:ind w:left="72"/>
            </w:pPr>
            <w:r>
              <w:rPr>
                <w:rFonts w:ascii="Arial" w:hAnsi="Arial"/>
                <w:color w:val="1F1F1F"/>
                <w:sz w:val="19"/>
              </w:rPr>
              <w:t>HTML</w:t>
            </w:r>
          </w:p>
        </w:tc>
        <w:tc>
          <w:tcPr>
            <w:tcW w:type="dxa" w:w="4752"/>
            <w:shd w:val="clear" w:color="auto" w:fill="F2F2F2"/>
          </w:tcPr>
          <w:p>
            <w:pPr>
              <w:spacing w:before="60" w:after="60"/>
              <w:ind w:left="72"/>
            </w:pPr>
            <w:r>
              <w:rPr>
                <w:rFonts w:ascii="Arial" w:hAnsi="Arial"/>
                <w:color w:val="1F1F1F"/>
                <w:sz w:val="19"/>
              </w:rPr>
              <w:t>Rich text content</w:t>
            </w:r>
          </w:p>
        </w:tc>
      </w:tr>
      <w:tr>
        <w:tc>
          <w:tcPr>
            <w:tcW w:type="dxa" w:w="2448"/>
            <w:shd w:val="clear" w:color="auto" w:fill="FFFFFF"/>
          </w:tcPr>
          <w:p>
            <w:pPr>
              <w:spacing w:before="60" w:after="60"/>
              <w:ind w:left="72"/>
            </w:pPr>
            <w:r>
              <w:rPr>
                <w:rFonts w:ascii="Arial" w:hAnsi="Arial"/>
                <w:color w:val="1F1F1F"/>
                <w:sz w:val="19"/>
              </w:rPr>
              <w:t>Attachment</w:t>
            </w:r>
          </w:p>
        </w:tc>
        <w:tc>
          <w:tcPr>
            <w:tcW w:type="dxa" w:w="2160"/>
            <w:shd w:val="clear" w:color="auto" w:fill="FFFFFF"/>
          </w:tcPr>
          <w:p>
            <w:pPr>
              <w:spacing w:before="60" w:after="60"/>
              <w:ind w:left="72"/>
            </w:pPr>
            <w:r>
              <w:rPr>
                <w:rFonts w:ascii="Arial" w:hAnsi="Arial"/>
                <w:color w:val="1F1F1F"/>
                <w:sz w:val="19"/>
              </w:rPr>
              <w:t>Attachment</w:t>
            </w:r>
          </w:p>
        </w:tc>
        <w:tc>
          <w:tcPr>
            <w:tcW w:type="dxa" w:w="4752"/>
            <w:shd w:val="clear" w:color="auto" w:fill="FFFFFF"/>
          </w:tcPr>
          <w:p>
            <w:pPr>
              <w:spacing w:before="60" w:after="60"/>
              <w:ind w:left="72"/>
            </w:pPr>
            <w:r>
              <w:rPr>
                <w:rFonts w:ascii="Arial" w:hAnsi="Arial"/>
                <w:color w:val="1F1F1F"/>
                <w:sz w:val="19"/>
              </w:rPr>
              <w:t>Link to source docx/xlsx in this pack</w:t>
            </w:r>
          </w:p>
        </w:tc>
      </w:tr>
      <w:tr>
        <w:tc>
          <w:tcPr>
            <w:tcW w:type="dxa" w:w="2448"/>
            <w:shd w:val="clear" w:color="auto" w:fill="F2F2F2"/>
          </w:tcPr>
          <w:p>
            <w:pPr>
              <w:spacing w:before="60" w:after="60"/>
              <w:ind w:left="72"/>
            </w:pPr>
            <w:r>
              <w:rPr>
                <w:rFonts w:ascii="Arial" w:hAnsi="Arial"/>
                <w:color w:val="1F1F1F"/>
                <w:sz w:val="19"/>
              </w:rPr>
              <w:t>Version</w:t>
            </w:r>
          </w:p>
        </w:tc>
        <w:tc>
          <w:tcPr>
            <w:tcW w:type="dxa" w:w="2160"/>
            <w:shd w:val="clear" w:color="auto" w:fill="F2F2F2"/>
          </w:tcPr>
          <w:p>
            <w:pPr>
              <w:spacing w:before="60" w:after="60"/>
              <w:ind w:left="72"/>
            </w:pPr>
            <w:r>
              <w:rPr>
                <w:rFonts w:ascii="Arial" w:hAnsi="Arial"/>
                <w:color w:val="1F1F1F"/>
                <w:sz w:val="19"/>
              </w:rPr>
              <w:t>String</w:t>
            </w:r>
          </w:p>
        </w:tc>
        <w:tc>
          <w:tcPr>
            <w:tcW w:type="dxa" w:w="4752"/>
            <w:shd w:val="clear" w:color="auto" w:fill="F2F2F2"/>
          </w:tcPr>
          <w:p>
            <w:pPr>
              <w:spacing w:before="60" w:after="60"/>
              <w:ind w:left="72"/>
            </w:pPr>
            <w:r>
              <w:rPr>
                <w:rFonts w:ascii="Arial" w:hAnsi="Arial"/>
                <w:color w:val="1F1F1F"/>
                <w:sz w:val="19"/>
              </w:rPr>
              <w:t>Content version for change tracking</w:t>
            </w:r>
          </w:p>
        </w:tc>
      </w:tr>
    </w:tbl>
    <w:p>
      <w:pPr>
        <w:spacing w:after="120"/>
      </w:pPr>
    </w:p>
    <w:p>
      <w:r>
        <w:br w:type="page"/>
      </w:r>
    </w:p>
    <w:p>
      <w:pPr>
        <w:spacing w:before="360" w:after="120"/>
        <w:pBdr>
          <w:bottom w:val="single" w:sz="6" w:space="1" w:color="1B3A6B"/>
        </w:pBdr>
      </w:pPr>
      <w:r>
        <w:rPr>
          <w:rFonts w:ascii="Arial" w:hAnsi="Arial"/>
          <w:b/>
          <w:color w:val="1B3A6B"/>
          <w:sz w:val="28"/>
        </w:rPr>
        <w:t>5. ROLE FRAMEWORK</w:t>
      </w:r>
    </w:p>
    <w:p>
      <w:pPr>
        <w:spacing w:before="0" w:after="200"/>
        <w:jc w:val="left"/>
      </w:pPr>
      <w:r>
        <w:rPr>
          <w:rFonts w:ascii="Arial" w:hAnsi="Arial"/>
          <w:b w:val="0"/>
          <w:i w:val="0"/>
          <w:color w:val="1F1F1F"/>
          <w:sz w:val="21"/>
        </w:rPr>
        <w:t>The application defines distinct roles that control access, portal views, and notification behaviour. Roles are granted at the engagement level, not globally, so consultants only see the engagements they are assigned to.</w:t>
      </w:r>
    </w:p>
    <w:p>
      <w:pPr>
        <w:spacing w:before="240" w:after="80"/>
      </w:pPr>
      <w:r>
        <w:rPr>
          <w:rFonts w:ascii="Arial" w:hAnsi="Arial"/>
          <w:b/>
          <w:color w:val="2E75B6"/>
          <w:sz w:val="24"/>
        </w:rPr>
        <w:t>5.1  Internal Roles (Everforth Staff)</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016"/>
            <w:shd w:val="clear" w:color="auto" w:fill="1B3A6B"/>
          </w:tcPr>
          <w:p>
            <w:pPr>
              <w:spacing w:before="80" w:after="80"/>
              <w:ind w:left="72"/>
            </w:pPr>
            <w:r>
              <w:rPr>
                <w:rFonts w:ascii="Arial" w:hAnsi="Arial"/>
                <w:b/>
                <w:color w:val="FFFFFF"/>
                <w:sz w:val="20"/>
              </w:rPr>
              <w:t>Role</w:t>
            </w:r>
          </w:p>
        </w:tc>
        <w:tc>
          <w:tcPr>
            <w:tcW w:type="dxa" w:w="2304"/>
            <w:shd w:val="clear" w:color="auto" w:fill="1B3A6B"/>
          </w:tcPr>
          <w:p>
            <w:pPr>
              <w:spacing w:before="80" w:after="80"/>
              <w:ind w:left="72"/>
            </w:pPr>
            <w:r>
              <w:rPr>
                <w:rFonts w:ascii="Arial" w:hAnsi="Arial"/>
                <w:b/>
                <w:color w:val="FFFFFF"/>
                <w:sz w:val="20"/>
              </w:rPr>
              <w:t>SNow Role Name</w:t>
            </w:r>
          </w:p>
        </w:tc>
        <w:tc>
          <w:tcPr>
            <w:tcW w:type="dxa" w:w="5040"/>
            <w:shd w:val="clear" w:color="auto" w:fill="1B3A6B"/>
          </w:tcPr>
          <w:p>
            <w:pPr>
              <w:spacing w:before="80" w:after="80"/>
              <w:ind w:left="72"/>
            </w:pPr>
            <w:r>
              <w:rPr>
                <w:rFonts w:ascii="Arial" w:hAnsi="Arial"/>
                <w:b/>
                <w:color w:val="FFFFFF"/>
                <w:sz w:val="20"/>
              </w:rPr>
              <w:t>What They See &amp; Can Do</w:t>
            </w:r>
          </w:p>
        </w:tc>
      </w:tr>
      <w:tr>
        <w:tc>
          <w:tcPr>
            <w:tcW w:type="dxa" w:w="2016"/>
            <w:shd w:val="clear" w:color="auto" w:fill="F2F2F2"/>
          </w:tcPr>
          <w:p>
            <w:pPr>
              <w:spacing w:before="60" w:after="60"/>
              <w:ind w:left="72"/>
            </w:pPr>
            <w:r>
              <w:rPr>
                <w:rFonts w:ascii="Arial" w:hAnsi="Arial"/>
                <w:color w:val="1F1F1F"/>
                <w:sz w:val="19"/>
              </w:rPr>
              <w:t>Practice Leader</w:t>
            </w:r>
          </w:p>
        </w:tc>
        <w:tc>
          <w:tcPr>
            <w:tcW w:type="dxa" w:w="2304"/>
            <w:shd w:val="clear" w:color="auto" w:fill="F2F2F2"/>
          </w:tcPr>
          <w:p>
            <w:pPr>
              <w:spacing w:before="60" w:after="60"/>
              <w:ind w:left="72"/>
            </w:pPr>
            <w:r>
              <w:rPr>
                <w:rFonts w:ascii="Arial" w:hAnsi="Arial"/>
                <w:color w:val="1F1F1F"/>
                <w:sz w:val="19"/>
              </w:rPr>
              <w:t>ecs_practice_leader</w:t>
            </w:r>
          </w:p>
        </w:tc>
        <w:tc>
          <w:tcPr>
            <w:tcW w:type="dxa" w:w="5040"/>
            <w:shd w:val="clear" w:color="auto" w:fill="F2F2F2"/>
          </w:tcPr>
          <w:p>
            <w:pPr>
              <w:spacing w:before="60" w:after="60"/>
              <w:ind w:left="72"/>
            </w:pPr>
            <w:r>
              <w:rPr>
                <w:rFonts w:ascii="Arial" w:hAnsi="Arial"/>
                <w:color w:val="1F1F1F"/>
                <w:sz w:val="19"/>
              </w:rPr>
              <w:t>All engagements, practice-level health roll-up, benchmarking across customers, content management</w:t>
            </w:r>
          </w:p>
        </w:tc>
      </w:tr>
      <w:tr>
        <w:tc>
          <w:tcPr>
            <w:tcW w:type="dxa" w:w="2016"/>
            <w:shd w:val="clear" w:color="auto" w:fill="FFFFFF"/>
          </w:tcPr>
          <w:p>
            <w:pPr>
              <w:spacing w:before="60" w:after="60"/>
              <w:ind w:left="72"/>
            </w:pPr>
            <w:r>
              <w:rPr>
                <w:rFonts w:ascii="Arial" w:hAnsi="Arial"/>
                <w:color w:val="1F1F1F"/>
                <w:sz w:val="19"/>
              </w:rPr>
              <w:t>Delivery Manager</w:t>
            </w:r>
          </w:p>
        </w:tc>
        <w:tc>
          <w:tcPr>
            <w:tcW w:type="dxa" w:w="2304"/>
            <w:shd w:val="clear" w:color="auto" w:fill="FFFFFF"/>
          </w:tcPr>
          <w:p>
            <w:pPr>
              <w:spacing w:before="60" w:after="60"/>
              <w:ind w:left="72"/>
            </w:pPr>
            <w:r>
              <w:rPr>
                <w:rFonts w:ascii="Arial" w:hAnsi="Arial"/>
                <w:color w:val="1F1F1F"/>
                <w:sz w:val="19"/>
              </w:rPr>
              <w:t>ecs_delivery_mgr</w:t>
            </w:r>
          </w:p>
        </w:tc>
        <w:tc>
          <w:tcPr>
            <w:tcW w:type="dxa" w:w="5040"/>
            <w:shd w:val="clear" w:color="auto" w:fill="FFFFFF"/>
          </w:tcPr>
          <w:p>
            <w:pPr>
              <w:spacing w:before="60" w:after="60"/>
              <w:ind w:left="72"/>
            </w:pPr>
            <w:r>
              <w:rPr>
                <w:rFonts w:ascii="Arial" w:hAnsi="Arial"/>
                <w:color w:val="1F1F1F"/>
                <w:sz w:val="19"/>
              </w:rPr>
              <w:t>Their engagements: full edit on Sprint Gates, Risks, Decisions; health dashboard; customer portal preview</w:t>
            </w:r>
          </w:p>
        </w:tc>
      </w:tr>
      <w:tr>
        <w:tc>
          <w:tcPr>
            <w:tcW w:type="dxa" w:w="2016"/>
            <w:shd w:val="clear" w:color="auto" w:fill="F2F2F2"/>
          </w:tcPr>
          <w:p>
            <w:pPr>
              <w:spacing w:before="60" w:after="60"/>
              <w:ind w:left="72"/>
            </w:pPr>
            <w:r>
              <w:rPr>
                <w:rFonts w:ascii="Arial" w:hAnsi="Arial"/>
                <w:color w:val="1F1F1F"/>
                <w:sz w:val="19"/>
              </w:rPr>
              <w:t>Lead Architect</w:t>
            </w:r>
          </w:p>
        </w:tc>
        <w:tc>
          <w:tcPr>
            <w:tcW w:type="dxa" w:w="2304"/>
            <w:shd w:val="clear" w:color="auto" w:fill="F2F2F2"/>
          </w:tcPr>
          <w:p>
            <w:pPr>
              <w:spacing w:before="60" w:after="60"/>
              <w:ind w:left="72"/>
            </w:pPr>
            <w:r>
              <w:rPr>
                <w:rFonts w:ascii="Arial" w:hAnsi="Arial"/>
                <w:color w:val="1F1F1F"/>
                <w:sz w:val="19"/>
              </w:rPr>
              <w:t>ecs_architect</w:t>
            </w:r>
          </w:p>
        </w:tc>
        <w:tc>
          <w:tcPr>
            <w:tcW w:type="dxa" w:w="5040"/>
            <w:shd w:val="clear" w:color="auto" w:fill="F2F2F2"/>
          </w:tcPr>
          <w:p>
            <w:pPr>
              <w:spacing w:before="60" w:after="60"/>
              <w:ind w:left="72"/>
            </w:pPr>
            <w:r>
              <w:rPr>
                <w:rFonts w:ascii="Arial" w:hAnsi="Arial"/>
                <w:color w:val="1F1F1F"/>
                <w:sz w:val="19"/>
              </w:rPr>
              <w:t>Their engagements: technical decision records, workstream health, how-to content for their workstreams</w:t>
            </w:r>
          </w:p>
        </w:tc>
      </w:tr>
      <w:tr>
        <w:tc>
          <w:tcPr>
            <w:tcW w:type="dxa" w:w="2016"/>
            <w:shd w:val="clear" w:color="auto" w:fill="FFFFFF"/>
          </w:tcPr>
          <w:p>
            <w:pPr>
              <w:spacing w:before="60" w:after="60"/>
              <w:ind w:left="72"/>
            </w:pPr>
            <w:r>
              <w:rPr>
                <w:rFonts w:ascii="Arial" w:hAnsi="Arial"/>
                <w:color w:val="1F1F1F"/>
                <w:sz w:val="19"/>
              </w:rPr>
              <w:t>Consultant</w:t>
            </w:r>
          </w:p>
        </w:tc>
        <w:tc>
          <w:tcPr>
            <w:tcW w:type="dxa" w:w="2304"/>
            <w:shd w:val="clear" w:color="auto" w:fill="FFFFFF"/>
          </w:tcPr>
          <w:p>
            <w:pPr>
              <w:spacing w:before="60" w:after="60"/>
              <w:ind w:left="72"/>
            </w:pPr>
            <w:r>
              <w:rPr>
                <w:rFonts w:ascii="Arial" w:hAnsi="Arial"/>
                <w:color w:val="1F1F1F"/>
                <w:sz w:val="19"/>
              </w:rPr>
              <w:t>ecs_consultant</w:t>
            </w:r>
          </w:p>
        </w:tc>
        <w:tc>
          <w:tcPr>
            <w:tcW w:type="dxa" w:w="5040"/>
            <w:shd w:val="clear" w:color="auto" w:fill="FFFFFF"/>
          </w:tcPr>
          <w:p>
            <w:pPr>
              <w:spacing w:before="60" w:after="60"/>
              <w:ind w:left="72"/>
            </w:pPr>
            <w:r>
              <w:rPr>
                <w:rFonts w:ascii="Arial" w:hAnsi="Arial"/>
                <w:color w:val="1F1F1F"/>
                <w:sz w:val="19"/>
              </w:rPr>
              <w:t>Their sprint tasks, relevant methodology content filtered by sprint and workstream, read on sprint health</w:t>
            </w:r>
          </w:p>
        </w:tc>
      </w:tr>
    </w:tbl>
    <w:p>
      <w:pPr>
        <w:spacing w:after="120"/>
      </w:pPr>
    </w:p>
    <w:p>
      <w:pPr>
        <w:spacing w:before="240" w:after="80"/>
      </w:pPr>
      <w:r>
        <w:rPr>
          <w:rFonts w:ascii="Arial" w:hAnsi="Arial"/>
          <w:b/>
          <w:color w:val="2E75B6"/>
          <w:sz w:val="24"/>
        </w:rPr>
        <w:t>5.2  Customer Roles (Portal Access Only)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016"/>
            <w:shd w:val="clear" w:color="auto" w:fill="1B3A6B"/>
          </w:tcPr>
          <w:p>
            <w:pPr>
              <w:spacing w:before="80" w:after="80"/>
              <w:ind w:left="72"/>
            </w:pPr>
            <w:r>
              <w:rPr>
                <w:rFonts w:ascii="Arial" w:hAnsi="Arial"/>
                <w:b/>
                <w:color w:val="FFFFFF"/>
                <w:sz w:val="20"/>
              </w:rPr>
              <w:t>Role</w:t>
            </w:r>
          </w:p>
        </w:tc>
        <w:tc>
          <w:tcPr>
            <w:tcW w:type="dxa" w:w="2304"/>
            <w:shd w:val="clear" w:color="auto" w:fill="1B3A6B"/>
          </w:tcPr>
          <w:p>
            <w:pPr>
              <w:spacing w:before="80" w:after="80"/>
              <w:ind w:left="72"/>
            </w:pPr>
            <w:r>
              <w:rPr>
                <w:rFonts w:ascii="Arial" w:hAnsi="Arial"/>
                <w:b/>
                <w:color w:val="FFFFFF"/>
                <w:sz w:val="20"/>
              </w:rPr>
              <w:t>SNow Role Name</w:t>
            </w:r>
          </w:p>
        </w:tc>
        <w:tc>
          <w:tcPr>
            <w:tcW w:type="dxa" w:w="5040"/>
            <w:shd w:val="clear" w:color="auto" w:fill="1B3A6B"/>
          </w:tcPr>
          <w:p>
            <w:pPr>
              <w:spacing w:before="80" w:after="80"/>
              <w:ind w:left="72"/>
            </w:pPr>
            <w:r>
              <w:rPr>
                <w:rFonts w:ascii="Arial" w:hAnsi="Arial"/>
                <w:b/>
                <w:color w:val="FFFFFF"/>
                <w:sz w:val="20"/>
              </w:rPr>
              <w:t>What They See &amp; Can Do</w:t>
            </w:r>
          </w:p>
        </w:tc>
      </w:tr>
      <w:tr>
        <w:tc>
          <w:tcPr>
            <w:tcW w:type="dxa" w:w="2016"/>
            <w:shd w:val="clear" w:color="auto" w:fill="F2F2F2"/>
          </w:tcPr>
          <w:p>
            <w:pPr>
              <w:spacing w:before="60" w:after="60"/>
              <w:ind w:left="72"/>
            </w:pPr>
            <w:r>
              <w:rPr>
                <w:rFonts w:ascii="Arial" w:hAnsi="Arial"/>
                <w:color w:val="1F1F1F"/>
                <w:sz w:val="19"/>
              </w:rPr>
              <w:t>Executive Sponsor</w:t>
            </w:r>
          </w:p>
        </w:tc>
        <w:tc>
          <w:tcPr>
            <w:tcW w:type="dxa" w:w="2304"/>
            <w:shd w:val="clear" w:color="auto" w:fill="F2F2F2"/>
          </w:tcPr>
          <w:p>
            <w:pPr>
              <w:spacing w:before="60" w:after="60"/>
              <w:ind w:left="72"/>
            </w:pPr>
            <w:r>
              <w:rPr>
                <w:rFonts w:ascii="Arial" w:hAnsi="Arial"/>
                <w:color w:val="1F1F1F"/>
                <w:sz w:val="19"/>
              </w:rPr>
              <w:t>ecs_customer_sponsor</w:t>
            </w:r>
          </w:p>
        </w:tc>
        <w:tc>
          <w:tcPr>
            <w:tcW w:type="dxa" w:w="5040"/>
            <w:shd w:val="clear" w:color="auto" w:fill="F2F2F2"/>
          </w:tcPr>
          <w:p>
            <w:pPr>
              <w:spacing w:before="60" w:after="60"/>
              <w:ind w:left="72"/>
            </w:pPr>
            <w:r>
              <w:rPr>
                <w:rFonts w:ascii="Arial" w:hAnsi="Arial"/>
                <w:color w:val="1F1F1F"/>
                <w:sz w:val="19"/>
              </w:rPr>
              <w:t>Engagement health summary, milestone status, sprint gate approvals, escalated risks — executive view</w:t>
            </w:r>
          </w:p>
        </w:tc>
      </w:tr>
      <w:tr>
        <w:tc>
          <w:tcPr>
            <w:tcW w:type="dxa" w:w="2016"/>
            <w:shd w:val="clear" w:color="auto" w:fill="FFFFFF"/>
          </w:tcPr>
          <w:p>
            <w:pPr>
              <w:spacing w:before="60" w:after="60"/>
              <w:ind w:left="72"/>
            </w:pPr>
            <w:r>
              <w:rPr>
                <w:rFonts w:ascii="Arial" w:hAnsi="Arial"/>
                <w:color w:val="1F1F1F"/>
                <w:sz w:val="19"/>
              </w:rPr>
              <w:t>Project Owner</w:t>
            </w:r>
          </w:p>
        </w:tc>
        <w:tc>
          <w:tcPr>
            <w:tcW w:type="dxa" w:w="2304"/>
            <w:shd w:val="clear" w:color="auto" w:fill="FFFFFF"/>
          </w:tcPr>
          <w:p>
            <w:pPr>
              <w:spacing w:before="60" w:after="60"/>
              <w:ind w:left="72"/>
            </w:pPr>
            <w:r>
              <w:rPr>
                <w:rFonts w:ascii="Arial" w:hAnsi="Arial"/>
                <w:color w:val="1F1F1F"/>
                <w:sz w:val="19"/>
              </w:rPr>
              <w:t>ecs_customer_pm</w:t>
            </w:r>
          </w:p>
        </w:tc>
        <w:tc>
          <w:tcPr>
            <w:tcW w:type="dxa" w:w="5040"/>
            <w:shd w:val="clear" w:color="auto" w:fill="FFFFFF"/>
          </w:tcPr>
          <w:p>
            <w:pPr>
              <w:spacing w:before="60" w:after="60"/>
              <w:ind w:left="72"/>
            </w:pPr>
            <w:r>
              <w:rPr>
                <w:rFonts w:ascii="Arial" w:hAnsi="Arial"/>
                <w:color w:val="1F1F1F"/>
                <w:sz w:val="19"/>
              </w:rPr>
              <w:t>Sprint-level detail, decision records requiring their input, risk log, upcoming commitments</w:t>
            </w:r>
          </w:p>
        </w:tc>
      </w:tr>
      <w:tr>
        <w:tc>
          <w:tcPr>
            <w:tcW w:type="dxa" w:w="2016"/>
            <w:shd w:val="clear" w:color="auto" w:fill="F2F2F2"/>
          </w:tcPr>
          <w:p>
            <w:pPr>
              <w:spacing w:before="60" w:after="60"/>
              <w:ind w:left="72"/>
            </w:pPr>
            <w:r>
              <w:rPr>
                <w:rFonts w:ascii="Arial" w:hAnsi="Arial"/>
                <w:color w:val="1F1F1F"/>
                <w:sz w:val="19"/>
              </w:rPr>
              <w:t>Process Owner</w:t>
            </w:r>
          </w:p>
        </w:tc>
        <w:tc>
          <w:tcPr>
            <w:tcW w:type="dxa" w:w="2304"/>
            <w:shd w:val="clear" w:color="auto" w:fill="F2F2F2"/>
          </w:tcPr>
          <w:p>
            <w:pPr>
              <w:spacing w:before="60" w:after="60"/>
              <w:ind w:left="72"/>
            </w:pPr>
            <w:r>
              <w:rPr>
                <w:rFonts w:ascii="Arial" w:hAnsi="Arial"/>
                <w:color w:val="1F1F1F"/>
                <w:sz w:val="19"/>
              </w:rPr>
              <w:t>ecs_customer_process</w:t>
            </w:r>
          </w:p>
        </w:tc>
        <w:tc>
          <w:tcPr>
            <w:tcW w:type="dxa" w:w="5040"/>
            <w:shd w:val="clear" w:color="auto" w:fill="F2F2F2"/>
          </w:tcPr>
          <w:p>
            <w:pPr>
              <w:spacing w:before="60" w:after="60"/>
              <w:ind w:left="72"/>
            </w:pPr>
            <w:r>
              <w:rPr>
                <w:rFonts w:ascii="Arial" w:hAnsi="Arial"/>
                <w:color w:val="1F1F1F"/>
                <w:sz w:val="19"/>
              </w:rPr>
              <w:t>Workstream-specific content, decisions in their area, workshop pre-read materials for their process</w:t>
            </w:r>
          </w:p>
        </w:tc>
      </w:tr>
      <w:tr>
        <w:tc>
          <w:tcPr>
            <w:tcW w:type="dxa" w:w="2016"/>
            <w:shd w:val="clear" w:color="auto" w:fill="FFFFFF"/>
          </w:tcPr>
          <w:p>
            <w:pPr>
              <w:spacing w:before="60" w:after="60"/>
              <w:ind w:left="72"/>
            </w:pPr>
            <w:r>
              <w:rPr>
                <w:rFonts w:ascii="Arial" w:hAnsi="Arial"/>
                <w:color w:val="1F1F1F"/>
                <w:sz w:val="19"/>
              </w:rPr>
              <w:t>End User</w:t>
            </w:r>
          </w:p>
        </w:tc>
        <w:tc>
          <w:tcPr>
            <w:tcW w:type="dxa" w:w="2304"/>
            <w:shd w:val="clear" w:color="auto" w:fill="FFFFFF"/>
          </w:tcPr>
          <w:p>
            <w:pPr>
              <w:spacing w:before="60" w:after="60"/>
              <w:ind w:left="72"/>
            </w:pPr>
            <w:r>
              <w:rPr>
                <w:rFonts w:ascii="Arial" w:hAnsi="Arial"/>
                <w:color w:val="1F1F1F"/>
                <w:sz w:val="19"/>
              </w:rPr>
              <w:t>ecs_customer_user</w:t>
            </w:r>
          </w:p>
        </w:tc>
        <w:tc>
          <w:tcPr>
            <w:tcW w:type="dxa" w:w="5040"/>
            <w:shd w:val="clear" w:color="auto" w:fill="FFFFFF"/>
          </w:tcPr>
          <w:p>
            <w:pPr>
              <w:spacing w:before="60" w:after="60"/>
              <w:ind w:left="72"/>
            </w:pPr>
            <w:r>
              <w:rPr>
                <w:rFonts w:ascii="Arial" w:hAnsi="Arial"/>
                <w:color w:val="1F1F1F"/>
                <w:sz w:val="19"/>
              </w:rPr>
              <w:t>Read-only: sprint schedule, upcoming changes, knowledge articles relevant to their role</w:t>
            </w:r>
          </w:p>
        </w:tc>
      </w:tr>
    </w:tbl>
    <w:p>
      <w:pPr>
        <w:spacing w:after="12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FEF9EC"/>
          </w:tcPr>
          <w:p>
            <w:pPr>
              <w:spacing w:before="120" w:after="40"/>
              <w:ind w:left="144"/>
            </w:pPr>
            <w:r>
              <w:rPr>
                <w:rFonts w:ascii="Arial" w:hAnsi="Arial"/>
                <w:b/>
                <w:color w:val="C9A02B"/>
                <w:sz w:val="20"/>
              </w:rPr>
              <w:t xml:space="preserve">Licensing note:  </w:t>
            </w:r>
            <w:r>
              <w:rPr>
                <w:rFonts w:ascii="Arial" w:hAnsi="Arial"/>
                <w:color w:val="1F1F1F"/>
                <w:sz w:val="20"/>
              </w:rPr>
              <w:t>Customer roles are portal-only. They require a ServiceNow Requester or Customer Portal license, not a full platform seat. This is the lowest-cost access tier. Confirm specific entitlement with the customer's ServiceNow contract before assigning portal roles.</w:t>
            </w:r>
          </w:p>
          <w:p>
            <w:pPr>
              <w:spacing w:after="120"/>
            </w:pPr>
          </w:p>
        </w:tc>
      </w:tr>
    </w:tbl>
    <w:p>
      <w:pPr>
        <w:spacing w:after="80"/>
      </w:pPr>
    </w:p>
    <w:p>
      <w:r>
        <w:br w:type="page"/>
      </w:r>
    </w:p>
    <w:p>
      <w:pPr>
        <w:spacing w:before="360" w:after="120"/>
        <w:pBdr>
          <w:bottom w:val="single" w:sz="6" w:space="1" w:color="1B3A6B"/>
        </w:pBdr>
      </w:pPr>
      <w:r>
        <w:rPr>
          <w:rFonts w:ascii="Arial" w:hAnsi="Arial"/>
          <w:b/>
          <w:color w:val="1B3A6B"/>
          <w:sz w:val="28"/>
        </w:rPr>
        <w:t>6. ROLE-BASED PORTAL DESIGN</w:t>
      </w:r>
    </w:p>
    <w:p>
      <w:pPr>
        <w:spacing w:before="0" w:after="200"/>
        <w:jc w:val="left"/>
      </w:pPr>
      <w:r>
        <w:rPr>
          <w:rFonts w:ascii="Arial" w:hAnsi="Arial"/>
          <w:b w:val="0"/>
          <w:i w:val="0"/>
          <w:color w:val="1F1F1F"/>
          <w:sz w:val="21"/>
        </w:rPr>
        <w:t>The portal is the face of the platform. Each role sees a different landing page — same underlying data, different filters and emphasis. All portal pages are built on ServiceNow's Service Portal framework.</w:t>
      </w:r>
    </w:p>
    <w:p>
      <w:pPr>
        <w:spacing w:before="240" w:after="80"/>
      </w:pPr>
      <w:r>
        <w:rPr>
          <w:rFonts w:ascii="Arial" w:hAnsi="Arial"/>
          <w:b/>
          <w:color w:val="2E75B6"/>
          <w:sz w:val="24"/>
        </w:rPr>
        <w:t>6.1  Consultant Landing Page</w:t>
      </w:r>
    </w:p>
    <w:p>
      <w:pPr>
        <w:pStyle w:val="ListBullet"/>
        <w:spacing w:after="60"/>
        <w:ind w:left="360"/>
      </w:pPr>
      <w:r>
        <w:rPr>
          <w:rFonts w:ascii="Arial" w:hAnsi="Arial"/>
          <w:color w:val="1F1F1F"/>
          <w:sz w:val="21"/>
        </w:rPr>
        <w:t>Current sprint banner: sprint number, start/end dates, velocity % updated in real time</w:t>
      </w:r>
    </w:p>
    <w:p>
      <w:pPr>
        <w:pStyle w:val="ListBullet"/>
        <w:spacing w:after="60"/>
        <w:ind w:left="360"/>
      </w:pPr>
      <w:r>
        <w:rPr>
          <w:rFonts w:ascii="Arial" w:hAnsi="Arial"/>
          <w:color w:val="1F1F1F"/>
          <w:sz w:val="21"/>
        </w:rPr>
        <w:t>My open tasks: stories assigned to me from the Agile board, filtered to this sprint</w:t>
      </w:r>
    </w:p>
    <w:p>
      <w:pPr>
        <w:pStyle w:val="ListBullet"/>
        <w:spacing w:after="60"/>
        <w:ind w:left="360"/>
      </w:pPr>
      <w:r>
        <w:rPr>
          <w:rFonts w:ascii="Arial" w:hAnsi="Arial"/>
          <w:color w:val="1F1F1F"/>
          <w:sz w:val="21"/>
        </w:rPr>
        <w:t>My content: methodology guides, how-to docs, cheatsheets — filtered by my role and current sprint</w:t>
      </w:r>
    </w:p>
    <w:p>
      <w:pPr>
        <w:pStyle w:val="ListBullet"/>
        <w:spacing w:after="60"/>
        <w:ind w:left="360"/>
      </w:pPr>
      <w:r>
        <w:rPr>
          <w:rFonts w:ascii="Arial" w:hAnsi="Arial"/>
          <w:color w:val="1F1F1F"/>
          <w:sz w:val="21"/>
        </w:rPr>
        <w:t>Open decisions: decisions in my workstream needing input, with a direct link to the decision record</w:t>
      </w:r>
    </w:p>
    <w:p>
      <w:pPr>
        <w:pStyle w:val="ListBullet"/>
        <w:spacing w:after="60"/>
        <w:ind w:left="360"/>
      </w:pPr>
      <w:r>
        <w:rPr>
          <w:rFonts w:ascii="Arial" w:hAnsi="Arial"/>
          <w:color w:val="1F1F1F"/>
          <w:sz w:val="21"/>
        </w:rPr>
        <w:t>Quick access: accelerator pack templates for the current workstream and sprint</w:t>
      </w:r>
    </w:p>
    <w:p>
      <w:pPr>
        <w:spacing w:before="240" w:after="80"/>
      </w:pPr>
      <w:r>
        <w:rPr>
          <w:rFonts w:ascii="Arial" w:hAnsi="Arial"/>
          <w:b/>
          <w:color w:val="2E75B6"/>
          <w:sz w:val="24"/>
        </w:rPr>
        <w:t>6.2  Delivery Manager Dashboard</w:t>
      </w:r>
    </w:p>
    <w:p>
      <w:pPr>
        <w:pStyle w:val="ListBullet"/>
        <w:spacing w:after="60"/>
        <w:ind w:left="360"/>
      </w:pPr>
      <w:r>
        <w:rPr>
          <w:rFonts w:ascii="Arial" w:hAnsi="Arial"/>
          <w:color w:val="1F1F1F"/>
          <w:sz w:val="21"/>
        </w:rPr>
        <w:t>Engagement health card: overall health score (0–100) with RAG indicator, trend vs. last sprint</w:t>
      </w:r>
    </w:p>
    <w:p>
      <w:pPr>
        <w:pStyle w:val="ListBullet"/>
        <w:spacing w:after="60"/>
        <w:ind w:left="360"/>
      </w:pPr>
      <w:r>
        <w:rPr>
          <w:rFonts w:ascii="Arial" w:hAnsi="Arial"/>
          <w:color w:val="1F1F1F"/>
          <w:sz w:val="21"/>
        </w:rPr>
        <w:t>Sprint gate status: all six gates shown as a visual timeline with pass/at-risk/open status</w:t>
      </w:r>
    </w:p>
    <w:p>
      <w:pPr>
        <w:pStyle w:val="ListBullet"/>
        <w:spacing w:after="60"/>
        <w:ind w:left="360"/>
      </w:pPr>
      <w:r>
        <w:rPr>
          <w:rFonts w:ascii="Arial" w:hAnsi="Arial"/>
          <w:color w:val="1F1F1F"/>
          <w:sz w:val="21"/>
        </w:rPr>
        <w:t>Risk &amp; issue summary: count by status and severity, oldest open risk highlighted</w:t>
      </w:r>
    </w:p>
    <w:p>
      <w:pPr>
        <w:pStyle w:val="ListBullet"/>
        <w:spacing w:after="60"/>
        <w:ind w:left="360"/>
      </w:pPr>
      <w:r>
        <w:rPr>
          <w:rFonts w:ascii="Arial" w:hAnsi="Arial"/>
          <w:color w:val="1F1F1F"/>
          <w:sz w:val="21"/>
        </w:rPr>
        <w:t>Decision tracker: count of open decisions, overdue decisions flagged in red</w:t>
      </w:r>
    </w:p>
    <w:p>
      <w:pPr>
        <w:pStyle w:val="ListBullet"/>
        <w:spacing w:after="60"/>
        <w:ind w:left="360"/>
      </w:pPr>
      <w:r>
        <w:rPr>
          <w:rFonts w:ascii="Arial" w:hAnsi="Arial"/>
          <w:color w:val="1F1F1F"/>
          <w:sz w:val="21"/>
        </w:rPr>
        <w:t>Velocity chart: committed vs. completed stories per sprint (PA chart from Agile data)</w:t>
      </w:r>
    </w:p>
    <w:p>
      <w:pPr>
        <w:pStyle w:val="ListBullet"/>
        <w:spacing w:after="60"/>
        <w:ind w:left="360"/>
      </w:pPr>
      <w:r>
        <w:rPr>
          <w:rFonts w:ascii="Arial" w:hAnsi="Arial"/>
          <w:color w:val="1F1F1F"/>
          <w:sz w:val="21"/>
        </w:rPr>
        <w:t>Customer portal preview: toggle to see exactly what the sponsor sees before they log in</w:t>
      </w:r>
    </w:p>
    <w:p>
      <w:pPr>
        <w:pStyle w:val="ListBullet"/>
        <w:spacing w:after="60"/>
        <w:ind w:left="360"/>
      </w:pPr>
      <w:r>
        <w:rPr>
          <w:rFonts w:ascii="Arial" w:hAnsi="Arial"/>
          <w:color w:val="1F1F1F"/>
          <w:sz w:val="21"/>
        </w:rPr>
        <w:t>Quick actions: add risk, add decision, trigger gate sign-off request</w:t>
      </w:r>
    </w:p>
    <w:p>
      <w:pPr>
        <w:spacing w:before="240" w:after="80"/>
      </w:pPr>
      <w:r>
        <w:rPr>
          <w:rFonts w:ascii="Arial" w:hAnsi="Arial"/>
          <w:b/>
          <w:color w:val="2E75B6"/>
          <w:sz w:val="24"/>
        </w:rPr>
        <w:t>6.3  Customer Sponsor View</w:t>
      </w:r>
    </w:p>
    <w:p>
      <w:pPr>
        <w:pStyle w:val="ListBullet"/>
        <w:spacing w:after="60"/>
        <w:ind w:left="360"/>
      </w:pPr>
      <w:r>
        <w:rPr>
          <w:rFonts w:ascii="Arial" w:hAnsi="Arial"/>
          <w:color w:val="1F1F1F"/>
          <w:sz w:val="21"/>
        </w:rPr>
        <w:t>Engagement progress: visual timeline showing which sprint we are in and what is coming</w:t>
      </w:r>
    </w:p>
    <w:p>
      <w:pPr>
        <w:pStyle w:val="ListBullet"/>
        <w:spacing w:after="60"/>
        <w:ind w:left="360"/>
      </w:pPr>
      <w:r>
        <w:rPr>
          <w:rFonts w:ascii="Arial" w:hAnsi="Arial"/>
          <w:color w:val="1F1F1F"/>
          <w:sz w:val="21"/>
        </w:rPr>
        <w:t>Health score: plain-language summary — 'Engagement is on track' or 'One item needs your attention'</w:t>
      </w:r>
    </w:p>
    <w:p>
      <w:pPr>
        <w:pStyle w:val="ListBullet"/>
        <w:spacing w:after="60"/>
        <w:ind w:left="360"/>
      </w:pPr>
      <w:r>
        <w:rPr>
          <w:rFonts w:ascii="Arial" w:hAnsi="Arial"/>
          <w:color w:val="1F1F1F"/>
          <w:sz w:val="21"/>
        </w:rPr>
        <w:t>Decisions awaiting your input: prominent call-to-action for any pending decision records</w:t>
      </w:r>
    </w:p>
    <w:p>
      <w:pPr>
        <w:pStyle w:val="ListBullet"/>
        <w:spacing w:after="60"/>
        <w:ind w:left="360"/>
      </w:pPr>
      <w:r>
        <w:rPr>
          <w:rFonts w:ascii="Arial" w:hAnsi="Arial"/>
          <w:color w:val="1F1F1F"/>
          <w:sz w:val="21"/>
        </w:rPr>
        <w:t>Completed this sprint: bullet summary of what was delivered (auto-generated from closed stories)</w:t>
      </w:r>
    </w:p>
    <w:p>
      <w:pPr>
        <w:pStyle w:val="ListBullet"/>
        <w:spacing w:after="60"/>
        <w:ind w:left="360"/>
      </w:pPr>
      <w:r>
        <w:rPr>
          <w:rFonts w:ascii="Arial" w:hAnsi="Arial"/>
          <w:color w:val="1F1F1F"/>
          <w:sz w:val="21"/>
        </w:rPr>
        <w:t>Upcoming commitments: what the customer team needs to provide in the next sprint</w:t>
      </w:r>
    </w:p>
    <w:p>
      <w:pPr>
        <w:pStyle w:val="ListBullet"/>
        <w:spacing w:after="60"/>
        <w:ind w:left="360"/>
      </w:pPr>
      <w:r>
        <w:rPr>
          <w:rFonts w:ascii="Arial" w:hAnsi="Arial"/>
          <w:color w:val="1F1F1F"/>
          <w:sz w:val="21"/>
        </w:rPr>
        <w:t>Gate approval: one-click approval when the sprint gate sign-off is requested</w:t>
      </w:r>
    </w:p>
    <w:p>
      <w:pPr>
        <w:spacing w:before="240" w:after="80"/>
      </w:pPr>
      <w:r>
        <w:rPr>
          <w:rFonts w:ascii="Arial" w:hAnsi="Arial"/>
          <w:b/>
          <w:color w:val="2E75B6"/>
          <w:sz w:val="24"/>
        </w:rPr>
        <w:t>6.4  Customer Process Owner View</w:t>
      </w:r>
    </w:p>
    <w:p>
      <w:pPr>
        <w:pStyle w:val="ListBullet"/>
        <w:spacing w:after="60"/>
        <w:ind w:left="360"/>
      </w:pPr>
      <w:r>
        <w:rPr>
          <w:rFonts w:ascii="Arial" w:hAnsi="Arial"/>
          <w:color w:val="1F1F1F"/>
          <w:sz w:val="21"/>
        </w:rPr>
        <w:t>My workstream health: ITSM, CMDB, HAM, Catalog — filtered to their area only</w:t>
      </w:r>
    </w:p>
    <w:p>
      <w:pPr>
        <w:pStyle w:val="ListBullet"/>
        <w:spacing w:after="60"/>
        <w:ind w:left="360"/>
      </w:pPr>
      <w:r>
        <w:rPr>
          <w:rFonts w:ascii="Arial" w:hAnsi="Arial"/>
          <w:color w:val="1F1F1F"/>
          <w:sz w:val="21"/>
        </w:rPr>
        <w:t>Workshop pre-reads: documents relevant to upcoming workshops surfaced automatically by sprint</w:t>
      </w:r>
    </w:p>
    <w:p>
      <w:pPr>
        <w:pStyle w:val="ListBullet"/>
        <w:spacing w:after="60"/>
        <w:ind w:left="360"/>
      </w:pPr>
      <w:r>
        <w:rPr>
          <w:rFonts w:ascii="Arial" w:hAnsi="Arial"/>
          <w:color w:val="1F1F1F"/>
          <w:sz w:val="21"/>
        </w:rPr>
        <w:t>Decisions in my area: any open decisions tagged to their workstream</w:t>
      </w:r>
    </w:p>
    <w:p>
      <w:pPr>
        <w:pStyle w:val="ListBullet"/>
        <w:spacing w:after="60"/>
        <w:ind w:left="360"/>
      </w:pPr>
      <w:r>
        <w:rPr>
          <w:rFonts w:ascii="Arial" w:hAnsi="Arial"/>
          <w:color w:val="1F1F1F"/>
          <w:sz w:val="21"/>
        </w:rPr>
        <w:t>Knowledge articles: OOTB methodology articles relevant to their process</w:t>
      </w:r>
    </w:p>
    <w:p>
      <w:pPr>
        <w:pStyle w:val="ListBullet"/>
        <w:spacing w:after="60"/>
        <w:ind w:left="360"/>
      </w:pPr>
      <w:r>
        <w:rPr>
          <w:rFonts w:ascii="Arial" w:hAnsi="Arial"/>
          <w:color w:val="1F1F1F"/>
          <w:sz w:val="21"/>
        </w:rPr>
        <w:t>What's been built: completed work items tagged to their workstream, readable summary</w:t>
      </w:r>
    </w:p>
    <w:p>
      <w:r>
        <w:br w:type="page"/>
      </w:r>
    </w:p>
    <w:p>
      <w:pPr>
        <w:spacing w:before="360" w:after="120"/>
        <w:pBdr>
          <w:bottom w:val="single" w:sz="6" w:space="1" w:color="1B3A6B"/>
        </w:pBdr>
      </w:pPr>
      <w:r>
        <w:rPr>
          <w:rFonts w:ascii="Arial" w:hAnsi="Arial"/>
          <w:b/>
          <w:color w:val="1B3A6B"/>
          <w:sz w:val="28"/>
        </w:rPr>
        <w:t>7. LIVING PROJECT HEALTH — REPLACING THE SPREADSHEETS</w:t>
      </w:r>
    </w:p>
    <w:p>
      <w:pPr>
        <w:spacing w:before="0" w:after="200"/>
        <w:jc w:val="left"/>
      </w:pPr>
      <w:r>
        <w:rPr>
          <w:rFonts w:ascii="Arial" w:hAnsi="Arial"/>
          <w:b w:val="0"/>
          <w:i w:val="0"/>
          <w:color w:val="1F1F1F"/>
          <w:sz w:val="21"/>
        </w:rPr>
        <w:t>This section maps every recurring manual spreadsheet to its replacement record type and explains how the health score is calculated automatically from real data.</w:t>
      </w:r>
    </w:p>
    <w:p>
      <w:pPr>
        <w:spacing w:before="240" w:after="80"/>
      </w:pPr>
      <w:r>
        <w:rPr>
          <w:rFonts w:ascii="Arial" w:hAnsi="Arial"/>
          <w:b/>
          <w:color w:val="2E75B6"/>
          <w:sz w:val="24"/>
        </w:rPr>
        <w:t>7.1  Spreadsheet-to-Record Mapping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736"/>
            <w:shd w:val="clear" w:color="auto" w:fill="1B3A6B"/>
          </w:tcPr>
          <w:p>
            <w:pPr>
              <w:spacing w:before="80" w:after="80"/>
              <w:ind w:left="72"/>
            </w:pPr>
            <w:r>
              <w:rPr>
                <w:rFonts w:ascii="Arial" w:hAnsi="Arial"/>
                <w:b/>
                <w:color w:val="FFFFFF"/>
                <w:sz w:val="20"/>
              </w:rPr>
              <w:t>Current Spreadsheet</w:t>
            </w:r>
          </w:p>
        </w:tc>
        <w:tc>
          <w:tcPr>
            <w:tcW w:type="dxa" w:w="2880"/>
            <w:shd w:val="clear" w:color="auto" w:fill="1B3A6B"/>
          </w:tcPr>
          <w:p>
            <w:pPr>
              <w:spacing w:before="80" w:after="80"/>
              <w:ind w:left="72"/>
            </w:pPr>
            <w:r>
              <w:rPr>
                <w:rFonts w:ascii="Arial" w:hAnsi="Arial"/>
                <w:b/>
                <w:color w:val="FFFFFF"/>
                <w:sz w:val="20"/>
              </w:rPr>
              <w:t>Replaced By</w:t>
            </w:r>
          </w:p>
        </w:tc>
        <w:tc>
          <w:tcPr>
            <w:tcW w:type="dxa" w:w="3744"/>
            <w:shd w:val="clear" w:color="auto" w:fill="1B3A6B"/>
          </w:tcPr>
          <w:p>
            <w:pPr>
              <w:spacing w:before="80" w:after="80"/>
              <w:ind w:left="72"/>
            </w:pPr>
            <w:r>
              <w:rPr>
                <w:rFonts w:ascii="Arial" w:hAnsi="Arial"/>
                <w:b/>
                <w:color w:val="FFFFFF"/>
                <w:sz w:val="20"/>
              </w:rPr>
              <w:t>Data Source</w:t>
            </w:r>
          </w:p>
        </w:tc>
      </w:tr>
      <w:tr>
        <w:tc>
          <w:tcPr>
            <w:tcW w:type="dxa" w:w="2736"/>
            <w:shd w:val="clear" w:color="auto" w:fill="F2F2F2"/>
          </w:tcPr>
          <w:p>
            <w:pPr>
              <w:spacing w:before="60" w:after="60"/>
              <w:ind w:left="72"/>
            </w:pPr>
            <w:r>
              <w:rPr>
                <w:rFonts w:ascii="Arial" w:hAnsi="Arial"/>
                <w:color w:val="1F1F1F"/>
                <w:sz w:val="19"/>
              </w:rPr>
              <w:t>Weekly RAG Status Report</w:t>
            </w:r>
          </w:p>
        </w:tc>
        <w:tc>
          <w:tcPr>
            <w:tcW w:type="dxa" w:w="2880"/>
            <w:shd w:val="clear" w:color="auto" w:fill="F2F2F2"/>
          </w:tcPr>
          <w:p>
            <w:pPr>
              <w:spacing w:before="60" w:after="60"/>
              <w:ind w:left="72"/>
            </w:pPr>
            <w:r>
              <w:rPr>
                <w:rFonts w:ascii="Arial" w:hAnsi="Arial"/>
                <w:color w:val="1F1F1F"/>
                <w:sz w:val="19"/>
              </w:rPr>
              <w:t>Engagement Health Card (portal)</w:t>
            </w:r>
          </w:p>
        </w:tc>
        <w:tc>
          <w:tcPr>
            <w:tcW w:type="dxa" w:w="3744"/>
            <w:shd w:val="clear" w:color="auto" w:fill="F2F2F2"/>
          </w:tcPr>
          <w:p>
            <w:pPr>
              <w:spacing w:before="60" w:after="60"/>
              <w:ind w:left="72"/>
            </w:pPr>
            <w:r>
              <w:rPr>
                <w:rFonts w:ascii="Arial" w:hAnsi="Arial"/>
                <w:color w:val="1F1F1F"/>
                <w:sz w:val="19"/>
              </w:rPr>
              <w:t>Calculated from sprint velocity, risk count, open decisions, milestone variance</w:t>
            </w:r>
          </w:p>
        </w:tc>
      </w:tr>
      <w:tr>
        <w:tc>
          <w:tcPr>
            <w:tcW w:type="dxa" w:w="2736"/>
            <w:shd w:val="clear" w:color="auto" w:fill="FFFFFF"/>
          </w:tcPr>
          <w:p>
            <w:pPr>
              <w:spacing w:before="60" w:after="60"/>
              <w:ind w:left="72"/>
            </w:pPr>
            <w:r>
              <w:rPr>
                <w:rFonts w:ascii="Arial" w:hAnsi="Arial"/>
                <w:color w:val="1F1F1F"/>
                <w:sz w:val="19"/>
              </w:rPr>
              <w:t>Sprint Tracking Worksheet</w:t>
            </w:r>
          </w:p>
        </w:tc>
        <w:tc>
          <w:tcPr>
            <w:tcW w:type="dxa" w:w="2880"/>
            <w:shd w:val="clear" w:color="auto" w:fill="FFFFFF"/>
          </w:tcPr>
          <w:p>
            <w:pPr>
              <w:spacing w:before="60" w:after="60"/>
              <w:ind w:left="72"/>
            </w:pPr>
            <w:r>
              <w:rPr>
                <w:rFonts w:ascii="Arial" w:hAnsi="Arial"/>
                <w:color w:val="1F1F1F"/>
                <w:sz w:val="19"/>
              </w:rPr>
              <w:t>Sprint Gate record + Agile board</w:t>
            </w:r>
          </w:p>
        </w:tc>
        <w:tc>
          <w:tcPr>
            <w:tcW w:type="dxa" w:w="3744"/>
            <w:shd w:val="clear" w:color="auto" w:fill="FFFFFF"/>
          </w:tcPr>
          <w:p>
            <w:pPr>
              <w:spacing w:before="60" w:after="60"/>
              <w:ind w:left="72"/>
            </w:pPr>
            <w:r>
              <w:rPr>
                <w:rFonts w:ascii="Arial" w:hAnsi="Arial"/>
                <w:color w:val="1F1F1F"/>
                <w:sz w:val="19"/>
              </w:rPr>
              <w:t>Stories committed/completed live from Agile Development module</w:t>
            </w:r>
          </w:p>
        </w:tc>
      </w:tr>
      <w:tr>
        <w:tc>
          <w:tcPr>
            <w:tcW w:type="dxa" w:w="2736"/>
            <w:shd w:val="clear" w:color="auto" w:fill="F2F2F2"/>
          </w:tcPr>
          <w:p>
            <w:pPr>
              <w:spacing w:before="60" w:after="60"/>
              <w:ind w:left="72"/>
            </w:pPr>
            <w:r>
              <w:rPr>
                <w:rFonts w:ascii="Arial" w:hAnsi="Arial"/>
                <w:color w:val="1F1F1F"/>
                <w:sz w:val="19"/>
              </w:rPr>
              <w:t>Risk &amp; Issue Log</w:t>
            </w:r>
          </w:p>
        </w:tc>
        <w:tc>
          <w:tcPr>
            <w:tcW w:type="dxa" w:w="2880"/>
            <w:shd w:val="clear" w:color="auto" w:fill="F2F2F2"/>
          </w:tcPr>
          <w:p>
            <w:pPr>
              <w:spacing w:before="60" w:after="60"/>
              <w:ind w:left="72"/>
            </w:pPr>
            <w:r>
              <w:rPr>
                <w:rFonts w:ascii="Arial" w:hAnsi="Arial"/>
                <w:color w:val="1F1F1F"/>
                <w:sz w:val="19"/>
              </w:rPr>
              <w:t>Risk/Issue records with workflow</w:t>
            </w:r>
          </w:p>
        </w:tc>
        <w:tc>
          <w:tcPr>
            <w:tcW w:type="dxa" w:w="3744"/>
            <w:shd w:val="clear" w:color="auto" w:fill="F2F2F2"/>
          </w:tcPr>
          <w:p>
            <w:pPr>
              <w:spacing w:before="60" w:after="60"/>
              <w:ind w:left="72"/>
            </w:pPr>
            <w:r>
              <w:rPr>
                <w:rFonts w:ascii="Arial" w:hAnsi="Arial"/>
                <w:color w:val="1F1F1F"/>
                <w:sz w:val="19"/>
              </w:rPr>
              <w:t>Created in app, status tracked in ServiceNow audit log</w:t>
            </w:r>
          </w:p>
        </w:tc>
      </w:tr>
      <w:tr>
        <w:tc>
          <w:tcPr>
            <w:tcW w:type="dxa" w:w="2736"/>
            <w:shd w:val="clear" w:color="auto" w:fill="FFFFFF"/>
          </w:tcPr>
          <w:p>
            <w:pPr>
              <w:spacing w:before="60" w:after="60"/>
              <w:ind w:left="72"/>
            </w:pPr>
            <w:r>
              <w:rPr>
                <w:rFonts w:ascii="Arial" w:hAnsi="Arial"/>
                <w:color w:val="1F1F1F"/>
                <w:sz w:val="19"/>
              </w:rPr>
              <w:t>Decision Log</w:t>
            </w:r>
          </w:p>
        </w:tc>
        <w:tc>
          <w:tcPr>
            <w:tcW w:type="dxa" w:w="2880"/>
            <w:shd w:val="clear" w:color="auto" w:fill="FFFFFF"/>
          </w:tcPr>
          <w:p>
            <w:pPr>
              <w:spacing w:before="60" w:after="60"/>
              <w:ind w:left="72"/>
            </w:pPr>
            <w:r>
              <w:rPr>
                <w:rFonts w:ascii="Arial" w:hAnsi="Arial"/>
                <w:color w:val="1F1F1F"/>
                <w:sz w:val="19"/>
              </w:rPr>
              <w:t>Decision records tied to sprint gates</w:t>
            </w:r>
          </w:p>
        </w:tc>
        <w:tc>
          <w:tcPr>
            <w:tcW w:type="dxa" w:w="3744"/>
            <w:shd w:val="clear" w:color="auto" w:fill="FFFFFF"/>
          </w:tcPr>
          <w:p>
            <w:pPr>
              <w:spacing w:before="60" w:after="60"/>
              <w:ind w:left="72"/>
            </w:pPr>
            <w:r>
              <w:rPr>
                <w:rFonts w:ascii="Arial" w:hAnsi="Arial"/>
                <w:color w:val="1F1F1F"/>
                <w:sz w:val="19"/>
              </w:rPr>
              <w:t>Workflow sends reminders to decision owner; escalates on due date</w:t>
            </w:r>
          </w:p>
        </w:tc>
      </w:tr>
      <w:tr>
        <w:tc>
          <w:tcPr>
            <w:tcW w:type="dxa" w:w="2736"/>
            <w:shd w:val="clear" w:color="auto" w:fill="F2F2F2"/>
          </w:tcPr>
          <w:p>
            <w:pPr>
              <w:spacing w:before="60" w:after="60"/>
              <w:ind w:left="72"/>
            </w:pPr>
            <w:r>
              <w:rPr>
                <w:rFonts w:ascii="Arial" w:hAnsi="Arial"/>
                <w:color w:val="1F1F1F"/>
                <w:sz w:val="19"/>
              </w:rPr>
              <w:t>Milestone Tracker</w:t>
            </w:r>
          </w:p>
        </w:tc>
        <w:tc>
          <w:tcPr>
            <w:tcW w:type="dxa" w:w="2880"/>
            <w:shd w:val="clear" w:color="auto" w:fill="F2F2F2"/>
          </w:tcPr>
          <w:p>
            <w:pPr>
              <w:spacing w:before="60" w:after="60"/>
              <w:ind w:left="72"/>
            </w:pPr>
            <w:r>
              <w:rPr>
                <w:rFonts w:ascii="Arial" w:hAnsi="Arial"/>
                <w:color w:val="1F1F1F"/>
                <w:sz w:val="19"/>
              </w:rPr>
              <w:t>SPM Project milestones</w:t>
            </w:r>
          </w:p>
        </w:tc>
        <w:tc>
          <w:tcPr>
            <w:tcW w:type="dxa" w:w="3744"/>
            <w:shd w:val="clear" w:color="auto" w:fill="F2F2F2"/>
          </w:tcPr>
          <w:p>
            <w:pPr>
              <w:spacing w:before="60" w:after="60"/>
              <w:ind w:left="72"/>
            </w:pPr>
            <w:r>
              <w:rPr>
                <w:rFonts w:ascii="Arial" w:hAnsi="Arial"/>
                <w:color w:val="1F1F1F"/>
                <w:sz w:val="19"/>
              </w:rPr>
              <w:t>Milestones defined in Strategic Portfolio Management, linked to engagement</w:t>
            </w:r>
          </w:p>
        </w:tc>
      </w:tr>
      <w:tr>
        <w:tc>
          <w:tcPr>
            <w:tcW w:type="dxa" w:w="2736"/>
            <w:shd w:val="clear" w:color="auto" w:fill="FFFFFF"/>
          </w:tcPr>
          <w:p>
            <w:pPr>
              <w:spacing w:before="60" w:after="60"/>
              <w:ind w:left="72"/>
            </w:pPr>
            <w:r>
              <w:rPr>
                <w:rFonts w:ascii="Arial" w:hAnsi="Arial"/>
                <w:color w:val="1F1F1F"/>
                <w:sz w:val="19"/>
              </w:rPr>
              <w:t>Velocity Chart</w:t>
            </w:r>
          </w:p>
        </w:tc>
        <w:tc>
          <w:tcPr>
            <w:tcW w:type="dxa" w:w="2880"/>
            <w:shd w:val="clear" w:color="auto" w:fill="FFFFFF"/>
          </w:tcPr>
          <w:p>
            <w:pPr>
              <w:spacing w:before="60" w:after="60"/>
              <w:ind w:left="72"/>
            </w:pPr>
            <w:r>
              <w:rPr>
                <w:rFonts w:ascii="Arial" w:hAnsi="Arial"/>
                <w:color w:val="1F1F1F"/>
                <w:sz w:val="19"/>
              </w:rPr>
              <w:t>PA chart: stories by sprint</w:t>
            </w:r>
          </w:p>
        </w:tc>
        <w:tc>
          <w:tcPr>
            <w:tcW w:type="dxa" w:w="3744"/>
            <w:shd w:val="clear" w:color="auto" w:fill="FFFFFF"/>
          </w:tcPr>
          <w:p>
            <w:pPr>
              <w:spacing w:before="60" w:after="60"/>
              <w:ind w:left="72"/>
            </w:pPr>
            <w:r>
              <w:rPr>
                <w:rFonts w:ascii="Arial" w:hAnsi="Arial"/>
                <w:color w:val="1F1F1F"/>
                <w:sz w:val="19"/>
              </w:rPr>
              <w:t>Performance Analytics reads Agile story records directly</w:t>
            </w:r>
          </w:p>
        </w:tc>
      </w:tr>
      <w:tr>
        <w:tc>
          <w:tcPr>
            <w:tcW w:type="dxa" w:w="2736"/>
            <w:shd w:val="clear" w:color="auto" w:fill="F2F2F2"/>
          </w:tcPr>
          <w:p>
            <w:pPr>
              <w:spacing w:before="60" w:after="60"/>
              <w:ind w:left="72"/>
            </w:pPr>
            <w:r>
              <w:rPr>
                <w:rFonts w:ascii="Arial" w:hAnsi="Arial"/>
                <w:color w:val="1F1F1F"/>
                <w:sz w:val="19"/>
              </w:rPr>
              <w:t>Customer Readiness Checklist</w:t>
            </w:r>
          </w:p>
        </w:tc>
        <w:tc>
          <w:tcPr>
            <w:tcW w:type="dxa" w:w="2880"/>
            <w:shd w:val="clear" w:color="auto" w:fill="F2F2F2"/>
          </w:tcPr>
          <w:p>
            <w:pPr>
              <w:spacing w:before="60" w:after="60"/>
              <w:ind w:left="72"/>
            </w:pPr>
            <w:r>
              <w:rPr>
                <w:rFonts w:ascii="Arial" w:hAnsi="Arial"/>
                <w:color w:val="1F1F1F"/>
                <w:sz w:val="19"/>
              </w:rPr>
              <w:t>Sprint Gate criteria records</w:t>
            </w:r>
          </w:p>
        </w:tc>
        <w:tc>
          <w:tcPr>
            <w:tcW w:type="dxa" w:w="3744"/>
            <w:shd w:val="clear" w:color="auto" w:fill="F2F2F2"/>
          </w:tcPr>
          <w:p>
            <w:pPr>
              <w:spacing w:before="60" w:after="60"/>
              <w:ind w:left="72"/>
            </w:pPr>
            <w:r>
              <w:rPr>
                <w:rFonts w:ascii="Arial" w:hAnsi="Arial"/>
                <w:color w:val="1F1F1F"/>
                <w:sz w:val="19"/>
              </w:rPr>
              <w:t>Gate pass/fail criteria defined as records; sign-off triggers approval workflow</w:t>
            </w:r>
          </w:p>
        </w:tc>
      </w:tr>
      <w:tr>
        <w:tc>
          <w:tcPr>
            <w:tcW w:type="dxa" w:w="2736"/>
            <w:shd w:val="clear" w:color="auto" w:fill="FFFFFF"/>
          </w:tcPr>
          <w:p>
            <w:pPr>
              <w:spacing w:before="60" w:after="60"/>
              <w:ind w:left="72"/>
            </w:pPr>
            <w:r>
              <w:rPr>
                <w:rFonts w:ascii="Arial" w:hAnsi="Arial"/>
                <w:color w:val="1F1F1F"/>
                <w:sz w:val="19"/>
              </w:rPr>
              <w:t>Project Health Summary</w:t>
            </w:r>
          </w:p>
        </w:tc>
        <w:tc>
          <w:tcPr>
            <w:tcW w:type="dxa" w:w="2880"/>
            <w:shd w:val="clear" w:color="auto" w:fill="FFFFFF"/>
          </w:tcPr>
          <w:p>
            <w:pPr>
              <w:spacing w:before="60" w:after="60"/>
              <w:ind w:left="72"/>
            </w:pPr>
            <w:r>
              <w:rPr>
                <w:rFonts w:ascii="Arial" w:hAnsi="Arial"/>
                <w:color w:val="1F1F1F"/>
                <w:sz w:val="19"/>
              </w:rPr>
              <w:t>Health Score (0–100) on Engagement</w:t>
            </w:r>
          </w:p>
        </w:tc>
        <w:tc>
          <w:tcPr>
            <w:tcW w:type="dxa" w:w="3744"/>
            <w:shd w:val="clear" w:color="auto" w:fill="FFFFFF"/>
          </w:tcPr>
          <w:p>
            <w:pPr>
              <w:spacing w:before="60" w:after="60"/>
              <w:ind w:left="72"/>
            </w:pPr>
            <w:r>
              <w:rPr>
                <w:rFonts w:ascii="Arial" w:hAnsi="Arial"/>
                <w:color w:val="1F1F1F"/>
                <w:sz w:val="19"/>
              </w:rPr>
              <w:t>Scheduled job recalculates nightly: velocity (40%) + risks (30%) + decisions (20%) + milestone (10%)</w:t>
            </w:r>
          </w:p>
        </w:tc>
      </w:tr>
    </w:tbl>
    <w:p>
      <w:pPr>
        <w:spacing w:after="120"/>
      </w:pPr>
    </w:p>
    <w:p>
      <w:pPr>
        <w:spacing w:before="240" w:after="80"/>
      </w:pPr>
      <w:r>
        <w:rPr>
          <w:rFonts w:ascii="Arial" w:hAnsi="Arial"/>
          <w:b/>
          <w:color w:val="2E75B6"/>
          <w:sz w:val="24"/>
        </w:rPr>
        <w:t>7.2  Health Score Calculation</w:t>
      </w:r>
    </w:p>
    <w:p>
      <w:pPr>
        <w:spacing w:before="0" w:after="120"/>
        <w:jc w:val="left"/>
      </w:pPr>
      <w:r>
        <w:rPr>
          <w:rFonts w:ascii="Arial" w:hAnsi="Arial"/>
          <w:b w:val="0"/>
          <w:i w:val="0"/>
          <w:color w:val="1F1F1F"/>
          <w:sz w:val="21"/>
        </w:rPr>
        <w:t>The Engagement Health Score is recalculated nightly by a scheduled job. The score drives the RAG indicator shown to all roles.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592"/>
            <w:shd w:val="clear" w:color="auto" w:fill="1B3A6B"/>
          </w:tcPr>
          <w:p>
            <w:pPr>
              <w:spacing w:before="80" w:after="80"/>
              <w:ind w:left="72"/>
            </w:pPr>
            <w:r>
              <w:rPr>
                <w:rFonts w:ascii="Arial" w:hAnsi="Arial"/>
                <w:b/>
                <w:color w:val="FFFFFF"/>
                <w:sz w:val="20"/>
              </w:rPr>
              <w:t>Component</w:t>
            </w:r>
          </w:p>
        </w:tc>
        <w:tc>
          <w:tcPr>
            <w:tcW w:type="dxa" w:w="1152"/>
            <w:shd w:val="clear" w:color="auto" w:fill="1B3A6B"/>
          </w:tcPr>
          <w:p>
            <w:pPr>
              <w:spacing w:before="80" w:after="80"/>
              <w:ind w:left="72"/>
            </w:pPr>
            <w:r>
              <w:rPr>
                <w:rFonts w:ascii="Arial" w:hAnsi="Arial"/>
                <w:b/>
                <w:color w:val="FFFFFF"/>
                <w:sz w:val="20"/>
              </w:rPr>
              <w:t>Weight</w:t>
            </w:r>
          </w:p>
        </w:tc>
        <w:tc>
          <w:tcPr>
            <w:tcW w:type="dxa" w:w="5616"/>
            <w:shd w:val="clear" w:color="auto" w:fill="1B3A6B"/>
          </w:tcPr>
          <w:p>
            <w:pPr>
              <w:spacing w:before="80" w:after="80"/>
              <w:ind w:left="72"/>
            </w:pPr>
            <w:r>
              <w:rPr>
                <w:rFonts w:ascii="Arial" w:hAnsi="Arial"/>
                <w:b/>
                <w:color w:val="FFFFFF"/>
                <w:sz w:val="20"/>
              </w:rPr>
              <w:t>Calculation Logic</w:t>
            </w:r>
          </w:p>
        </w:tc>
      </w:tr>
      <w:tr>
        <w:tc>
          <w:tcPr>
            <w:tcW w:type="dxa" w:w="2592"/>
            <w:shd w:val="clear" w:color="auto" w:fill="F2F2F2"/>
          </w:tcPr>
          <w:p>
            <w:pPr>
              <w:spacing w:before="60" w:after="60"/>
              <w:ind w:left="72"/>
            </w:pPr>
            <w:r>
              <w:rPr>
                <w:rFonts w:ascii="Arial" w:hAnsi="Arial"/>
                <w:color w:val="1F1F1F"/>
                <w:sz w:val="19"/>
              </w:rPr>
              <w:t>Sprint Velocity</w:t>
            </w:r>
          </w:p>
        </w:tc>
        <w:tc>
          <w:tcPr>
            <w:tcW w:type="dxa" w:w="1152"/>
            <w:shd w:val="clear" w:color="auto" w:fill="F2F2F2"/>
          </w:tcPr>
          <w:p>
            <w:pPr>
              <w:spacing w:before="60" w:after="60"/>
              <w:ind w:left="72"/>
            </w:pPr>
            <w:r>
              <w:rPr>
                <w:rFonts w:ascii="Arial" w:hAnsi="Arial"/>
                <w:color w:val="1F1F1F"/>
                <w:sz w:val="19"/>
              </w:rPr>
              <w:t>40%</w:t>
            </w:r>
          </w:p>
        </w:tc>
        <w:tc>
          <w:tcPr>
            <w:tcW w:type="dxa" w:w="5616"/>
            <w:shd w:val="clear" w:color="auto" w:fill="F2F2F2"/>
          </w:tcPr>
          <w:p>
            <w:pPr>
              <w:spacing w:before="60" w:after="60"/>
              <w:ind w:left="72"/>
            </w:pPr>
            <w:r>
              <w:rPr>
                <w:rFonts w:ascii="Arial" w:hAnsi="Arial"/>
                <w:color w:val="1F1F1F"/>
                <w:sz w:val="19"/>
              </w:rPr>
              <w:t>Average story completion rate across all sprints to date. 100% = full weight.</w:t>
            </w:r>
          </w:p>
        </w:tc>
      </w:tr>
      <w:tr>
        <w:tc>
          <w:tcPr>
            <w:tcW w:type="dxa" w:w="2592"/>
            <w:shd w:val="clear" w:color="auto" w:fill="FFFFFF"/>
          </w:tcPr>
          <w:p>
            <w:pPr>
              <w:spacing w:before="60" w:after="60"/>
              <w:ind w:left="72"/>
            </w:pPr>
            <w:r>
              <w:rPr>
                <w:rFonts w:ascii="Arial" w:hAnsi="Arial"/>
                <w:color w:val="1F1F1F"/>
                <w:sz w:val="19"/>
              </w:rPr>
              <w:t>Risk Posture</w:t>
            </w:r>
          </w:p>
        </w:tc>
        <w:tc>
          <w:tcPr>
            <w:tcW w:type="dxa" w:w="1152"/>
            <w:shd w:val="clear" w:color="auto" w:fill="FFFFFF"/>
          </w:tcPr>
          <w:p>
            <w:pPr>
              <w:spacing w:before="60" w:after="60"/>
              <w:ind w:left="72"/>
            </w:pPr>
            <w:r>
              <w:rPr>
                <w:rFonts w:ascii="Arial" w:hAnsi="Arial"/>
                <w:color w:val="1F1F1F"/>
                <w:sz w:val="19"/>
              </w:rPr>
              <w:t>30%</w:t>
            </w:r>
          </w:p>
        </w:tc>
        <w:tc>
          <w:tcPr>
            <w:tcW w:type="dxa" w:w="5616"/>
            <w:shd w:val="clear" w:color="auto" w:fill="FFFFFF"/>
          </w:tcPr>
          <w:p>
            <w:pPr>
              <w:spacing w:before="60" w:after="60"/>
              <w:ind w:left="72"/>
            </w:pPr>
            <w:r>
              <w:rPr>
                <w:rFonts w:ascii="Arial" w:hAnsi="Arial"/>
                <w:color w:val="1F1F1F"/>
                <w:sz w:val="19"/>
              </w:rPr>
              <w:t>Starts at full score, deducted for open high risks (−15 each), open medium risks (−5 each).</w:t>
            </w:r>
          </w:p>
        </w:tc>
      </w:tr>
      <w:tr>
        <w:tc>
          <w:tcPr>
            <w:tcW w:type="dxa" w:w="2592"/>
            <w:shd w:val="clear" w:color="auto" w:fill="F2F2F2"/>
          </w:tcPr>
          <w:p>
            <w:pPr>
              <w:spacing w:before="60" w:after="60"/>
              <w:ind w:left="72"/>
            </w:pPr>
            <w:r>
              <w:rPr>
                <w:rFonts w:ascii="Arial" w:hAnsi="Arial"/>
                <w:color w:val="1F1F1F"/>
                <w:sz w:val="19"/>
              </w:rPr>
              <w:t>Decision Latency</w:t>
            </w:r>
          </w:p>
        </w:tc>
        <w:tc>
          <w:tcPr>
            <w:tcW w:type="dxa" w:w="1152"/>
            <w:shd w:val="clear" w:color="auto" w:fill="F2F2F2"/>
          </w:tcPr>
          <w:p>
            <w:pPr>
              <w:spacing w:before="60" w:after="60"/>
              <w:ind w:left="72"/>
            </w:pPr>
            <w:r>
              <w:rPr>
                <w:rFonts w:ascii="Arial" w:hAnsi="Arial"/>
                <w:color w:val="1F1F1F"/>
                <w:sz w:val="19"/>
              </w:rPr>
              <w:t>20%</w:t>
            </w:r>
          </w:p>
        </w:tc>
        <w:tc>
          <w:tcPr>
            <w:tcW w:type="dxa" w:w="5616"/>
            <w:shd w:val="clear" w:color="auto" w:fill="F2F2F2"/>
          </w:tcPr>
          <w:p>
            <w:pPr>
              <w:spacing w:before="60" w:after="60"/>
              <w:ind w:left="72"/>
            </w:pPr>
            <w:r>
              <w:rPr>
                <w:rFonts w:ascii="Arial" w:hAnsi="Arial"/>
                <w:color w:val="1F1F1F"/>
                <w:sz w:val="19"/>
              </w:rPr>
              <w:t>Deducted for decisions overdue by more than 5 days (−10 each) or escalated (−15 each).</w:t>
            </w:r>
          </w:p>
        </w:tc>
      </w:tr>
      <w:tr>
        <w:tc>
          <w:tcPr>
            <w:tcW w:type="dxa" w:w="2592"/>
            <w:shd w:val="clear" w:color="auto" w:fill="FFFFFF"/>
          </w:tcPr>
          <w:p>
            <w:pPr>
              <w:spacing w:before="60" w:after="60"/>
              <w:ind w:left="72"/>
            </w:pPr>
            <w:r>
              <w:rPr>
                <w:rFonts w:ascii="Arial" w:hAnsi="Arial"/>
                <w:color w:val="1F1F1F"/>
                <w:sz w:val="19"/>
              </w:rPr>
              <w:t>Milestone Variance</w:t>
            </w:r>
          </w:p>
        </w:tc>
        <w:tc>
          <w:tcPr>
            <w:tcW w:type="dxa" w:w="1152"/>
            <w:shd w:val="clear" w:color="auto" w:fill="FFFFFF"/>
          </w:tcPr>
          <w:p>
            <w:pPr>
              <w:spacing w:before="60" w:after="60"/>
              <w:ind w:left="72"/>
            </w:pPr>
            <w:r>
              <w:rPr>
                <w:rFonts w:ascii="Arial" w:hAnsi="Arial"/>
                <w:color w:val="1F1F1F"/>
                <w:sz w:val="19"/>
              </w:rPr>
              <w:t>10%</w:t>
            </w:r>
          </w:p>
        </w:tc>
        <w:tc>
          <w:tcPr>
            <w:tcW w:type="dxa" w:w="5616"/>
            <w:shd w:val="clear" w:color="auto" w:fill="FFFFFF"/>
          </w:tcPr>
          <w:p>
            <w:pPr>
              <w:spacing w:before="60" w:after="60"/>
              <w:ind w:left="72"/>
            </w:pPr>
            <w:r>
              <w:rPr>
                <w:rFonts w:ascii="Arial" w:hAnsi="Arial"/>
                <w:color w:val="1F1F1F"/>
                <w:sz w:val="19"/>
              </w:rPr>
              <w:t>SPM milestone date variance. No variance = full weight; each week late = −5 points.</w:t>
            </w:r>
          </w:p>
        </w:tc>
      </w:tr>
      <w:tr>
        <w:tc>
          <w:tcPr>
            <w:tcW w:type="dxa" w:w="2592"/>
            <w:shd w:val="clear" w:color="auto" w:fill="F2F2F2"/>
          </w:tcPr>
          <w:p>
            <w:pPr>
              <w:spacing w:before="60" w:after="60"/>
              <w:ind w:left="72"/>
            </w:pPr>
            <w:r>
              <w:rPr>
                <w:rFonts w:ascii="Arial" w:hAnsi="Arial"/>
                <w:color w:val="1F1F1F"/>
                <w:sz w:val="19"/>
              </w:rPr>
              <w:t>RAG Threshold</w:t>
            </w:r>
          </w:p>
        </w:tc>
        <w:tc>
          <w:tcPr>
            <w:tcW w:type="dxa" w:w="1152"/>
            <w:shd w:val="clear" w:color="auto" w:fill="F2F2F2"/>
          </w:tcPr>
          <w:p>
            <w:pPr>
              <w:spacing w:before="60" w:after="60"/>
              <w:ind w:left="72"/>
            </w:pPr>
            <w:r>
              <w:rPr>
                <w:rFonts w:ascii="Arial" w:hAnsi="Arial"/>
                <w:color w:val="1F1F1F"/>
                <w:sz w:val="19"/>
              </w:rPr>
              <w:t>N/A</w:t>
            </w:r>
          </w:p>
        </w:tc>
        <w:tc>
          <w:tcPr>
            <w:tcW w:type="dxa" w:w="5616"/>
            <w:shd w:val="clear" w:color="auto" w:fill="F2F2F2"/>
          </w:tcPr>
          <w:p>
            <w:pPr>
              <w:spacing w:before="60" w:after="60"/>
              <w:ind w:left="72"/>
            </w:pPr>
            <w:r>
              <w:rPr>
                <w:rFonts w:ascii="Arial" w:hAnsi="Arial"/>
                <w:color w:val="1F1F1F"/>
                <w:sz w:val="19"/>
              </w:rPr>
              <w:t>Green ≥ 80 | Yellow 60–79 | Red &lt; 60</w:t>
            </w:r>
          </w:p>
        </w:tc>
      </w:tr>
    </w:tbl>
    <w:p>
      <w:pPr>
        <w:spacing w:after="120"/>
      </w:pPr>
    </w:p>
    <w:p>
      <w:pPr>
        <w:spacing w:before="240" w:after="80"/>
      </w:pPr>
      <w:r>
        <w:rPr>
          <w:rFonts w:ascii="Arial" w:hAnsi="Arial"/>
          <w:b/>
          <w:color w:val="2E75B6"/>
          <w:sz w:val="24"/>
        </w:rPr>
        <w:t>7.3  Audit Trail</w:t>
      </w:r>
    </w:p>
    <w:p>
      <w:pPr>
        <w:spacing w:before="0" w:after="160"/>
        <w:jc w:val="left"/>
      </w:pPr>
      <w:r>
        <w:rPr>
          <w:rFonts w:ascii="Arial" w:hAnsi="Arial"/>
          <w:b w:val="0"/>
          <w:i w:val="0"/>
          <w:color w:val="1F1F1F"/>
          <w:sz w:val="21"/>
        </w:rPr>
        <w:t>Because every health indicator derives from ServiceNow records, the audit trail is automatic. Every risk status change, decision update, story completion, and gate sign-off is recorded in the ServiceNow audit log with timestamp and user. At engagement close, the complete delivery history is available for internal review, post-engagement analysis, and customer handoff. No manual documentation required.</w:t>
      </w:r>
    </w:p>
    <w:p>
      <w:r>
        <w:br w:type="page"/>
      </w:r>
    </w:p>
    <w:p>
      <w:pPr>
        <w:spacing w:before="360" w:after="120"/>
        <w:pBdr>
          <w:bottom w:val="single" w:sz="6" w:space="1" w:color="1B3A6B"/>
        </w:pBdr>
      </w:pPr>
      <w:r>
        <w:rPr>
          <w:rFonts w:ascii="Arial" w:hAnsi="Arial"/>
          <w:b/>
          <w:color w:val="1B3A6B"/>
          <w:sz w:val="28"/>
        </w:rPr>
        <w:t>8. NATIVE MODULE INTEGRATION</w:t>
      </w:r>
    </w:p>
    <w:p>
      <w:pPr>
        <w:spacing w:before="0" w:after="200"/>
        <w:jc w:val="left"/>
      </w:pPr>
      <w:r>
        <w:rPr>
          <w:rFonts w:ascii="Arial" w:hAnsi="Arial"/>
          <w:b w:val="0"/>
          <w:i w:val="0"/>
          <w:color w:val="1F1F1F"/>
          <w:sz w:val="21"/>
        </w:rPr>
        <w:t>The platform does not replicate functionality that ServiceNow already provides. It reads from native modules and surfaces their data in a delivery context. The following integrations are core to the architecture.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448"/>
            <w:shd w:val="clear" w:color="auto" w:fill="1B3A6B"/>
          </w:tcPr>
          <w:p>
            <w:pPr>
              <w:spacing w:before="80" w:after="80"/>
              <w:ind w:left="72"/>
            </w:pPr>
            <w:r>
              <w:rPr>
                <w:rFonts w:ascii="Arial" w:hAnsi="Arial"/>
                <w:b/>
                <w:color w:val="FFFFFF"/>
                <w:sz w:val="20"/>
              </w:rPr>
              <w:t>Module</w:t>
            </w:r>
          </w:p>
        </w:tc>
        <w:tc>
          <w:tcPr>
            <w:tcW w:type="dxa" w:w="2304"/>
            <w:shd w:val="clear" w:color="auto" w:fill="1B3A6B"/>
          </w:tcPr>
          <w:p>
            <w:pPr>
              <w:spacing w:before="80" w:after="80"/>
              <w:ind w:left="72"/>
            </w:pPr>
            <w:r>
              <w:rPr>
                <w:rFonts w:ascii="Arial" w:hAnsi="Arial"/>
                <w:b/>
                <w:color w:val="FFFFFF"/>
                <w:sz w:val="20"/>
              </w:rPr>
              <w:t>What We Read</w:t>
            </w:r>
          </w:p>
        </w:tc>
        <w:tc>
          <w:tcPr>
            <w:tcW w:type="dxa" w:w="4608"/>
            <w:shd w:val="clear" w:color="auto" w:fill="1B3A6B"/>
          </w:tcPr>
          <w:p>
            <w:pPr>
              <w:spacing w:before="80" w:after="80"/>
              <w:ind w:left="72"/>
            </w:pPr>
            <w:r>
              <w:rPr>
                <w:rFonts w:ascii="Arial" w:hAnsi="Arial"/>
                <w:b/>
                <w:color w:val="FFFFFF"/>
                <w:sz w:val="20"/>
              </w:rPr>
              <w:t>How We Use It</w:t>
            </w:r>
          </w:p>
        </w:tc>
      </w:tr>
      <w:tr>
        <w:tc>
          <w:tcPr>
            <w:tcW w:type="dxa" w:w="2448"/>
            <w:shd w:val="clear" w:color="auto" w:fill="F2F2F2"/>
          </w:tcPr>
          <w:p>
            <w:pPr>
              <w:spacing w:before="60" w:after="60"/>
              <w:ind w:left="72"/>
            </w:pPr>
            <w:r>
              <w:rPr>
                <w:rFonts w:ascii="Arial" w:hAnsi="Arial"/>
                <w:color w:val="1F1F1F"/>
                <w:sz w:val="19"/>
              </w:rPr>
              <w:t>Agile Development</w:t>
              <w:br/>
              <w:t>(rm_story, rm_sprint)</w:t>
            </w:r>
          </w:p>
        </w:tc>
        <w:tc>
          <w:tcPr>
            <w:tcW w:type="dxa" w:w="2304"/>
            <w:shd w:val="clear" w:color="auto" w:fill="F2F2F2"/>
          </w:tcPr>
          <w:p>
            <w:pPr>
              <w:spacing w:before="60" w:after="60"/>
              <w:ind w:left="72"/>
            </w:pPr>
            <w:r>
              <w:rPr>
                <w:rFonts w:ascii="Arial" w:hAnsi="Arial"/>
                <w:color w:val="1F1F1F"/>
                <w:sz w:val="19"/>
              </w:rPr>
              <w:t>Stories, sprints, backlog, velocity</w:t>
            </w:r>
          </w:p>
        </w:tc>
        <w:tc>
          <w:tcPr>
            <w:tcW w:type="dxa" w:w="4608"/>
            <w:shd w:val="clear" w:color="auto" w:fill="F2F2F2"/>
          </w:tcPr>
          <w:p>
            <w:pPr>
              <w:spacing w:before="60" w:after="60"/>
              <w:ind w:left="72"/>
            </w:pPr>
            <w:r>
              <w:rPr>
                <w:rFonts w:ascii="Arial" w:hAnsi="Arial"/>
                <w:color w:val="1F1F1F"/>
                <w:sz w:val="19"/>
              </w:rPr>
              <w:t>Sprint Gate auto-populates committed/completed counts. Velocity chart on DM dashboard. Story list on consultant landing page.</w:t>
            </w:r>
          </w:p>
        </w:tc>
      </w:tr>
      <w:tr>
        <w:tc>
          <w:tcPr>
            <w:tcW w:type="dxa" w:w="2448"/>
            <w:shd w:val="clear" w:color="auto" w:fill="FFFFFF"/>
          </w:tcPr>
          <w:p>
            <w:pPr>
              <w:spacing w:before="60" w:after="60"/>
              <w:ind w:left="72"/>
            </w:pPr>
            <w:r>
              <w:rPr>
                <w:rFonts w:ascii="Arial" w:hAnsi="Arial"/>
                <w:color w:val="1F1F1F"/>
                <w:sz w:val="19"/>
              </w:rPr>
              <w:t>Strategic Portfolio</w:t>
              <w:br/>
              <w:t>Management (pm_project,</w:t>
              <w:br/>
              <w:t>pm_milestone)</w:t>
            </w:r>
          </w:p>
        </w:tc>
        <w:tc>
          <w:tcPr>
            <w:tcW w:type="dxa" w:w="2304"/>
            <w:shd w:val="clear" w:color="auto" w:fill="FFFFFF"/>
          </w:tcPr>
          <w:p>
            <w:pPr>
              <w:spacing w:before="60" w:after="60"/>
              <w:ind w:left="72"/>
            </w:pPr>
            <w:r>
              <w:rPr>
                <w:rFonts w:ascii="Arial" w:hAnsi="Arial"/>
                <w:color w:val="1F1F1F"/>
                <w:sz w:val="19"/>
              </w:rPr>
              <w:t>Project milestones, task completion, resource allocation</w:t>
            </w:r>
          </w:p>
        </w:tc>
        <w:tc>
          <w:tcPr>
            <w:tcW w:type="dxa" w:w="4608"/>
            <w:shd w:val="clear" w:color="auto" w:fill="FFFFFF"/>
          </w:tcPr>
          <w:p>
            <w:pPr>
              <w:spacing w:before="60" w:after="60"/>
              <w:ind w:left="72"/>
            </w:pPr>
            <w:r>
              <w:rPr>
                <w:rFonts w:ascii="Arial" w:hAnsi="Arial"/>
                <w:color w:val="1F1F1F"/>
                <w:sz w:val="19"/>
              </w:rPr>
              <w:t>Milestone records linked to Engagement. Variance drives 10% of health score. Sponsor sees milestone timeline on portal.</w:t>
            </w:r>
          </w:p>
        </w:tc>
      </w:tr>
      <w:tr>
        <w:tc>
          <w:tcPr>
            <w:tcW w:type="dxa" w:w="2448"/>
            <w:shd w:val="clear" w:color="auto" w:fill="F2F2F2"/>
          </w:tcPr>
          <w:p>
            <w:pPr>
              <w:spacing w:before="60" w:after="60"/>
              <w:ind w:left="72"/>
            </w:pPr>
            <w:r>
              <w:rPr>
                <w:rFonts w:ascii="Arial" w:hAnsi="Arial"/>
                <w:color w:val="1F1F1F"/>
                <w:sz w:val="19"/>
              </w:rPr>
              <w:t>ITSM (incident, problem,</w:t>
              <w:br/>
              <w:t>change_request)</w:t>
            </w:r>
          </w:p>
        </w:tc>
        <w:tc>
          <w:tcPr>
            <w:tcW w:type="dxa" w:w="2304"/>
            <w:shd w:val="clear" w:color="auto" w:fill="F2F2F2"/>
          </w:tcPr>
          <w:p>
            <w:pPr>
              <w:spacing w:before="60" w:after="60"/>
              <w:ind w:left="72"/>
            </w:pPr>
            <w:r>
              <w:rPr>
                <w:rFonts w:ascii="Arial" w:hAnsi="Arial"/>
                <w:color w:val="1F1F1F"/>
                <w:sz w:val="19"/>
              </w:rPr>
              <w:t>Open tickets against the customer instance</w:t>
            </w:r>
          </w:p>
        </w:tc>
        <w:tc>
          <w:tcPr>
            <w:tcW w:type="dxa" w:w="4608"/>
            <w:shd w:val="clear" w:color="auto" w:fill="F2F2F2"/>
          </w:tcPr>
          <w:p>
            <w:pPr>
              <w:spacing w:before="60" w:after="60"/>
              <w:ind w:left="72"/>
            </w:pPr>
            <w:r>
              <w:rPr>
                <w:rFonts w:ascii="Arial" w:hAnsi="Arial"/>
                <w:color w:val="1F1F1F"/>
                <w:sz w:val="19"/>
              </w:rPr>
              <w:t>Included in health scoring during Hypercare. Incident volume shown on customer sponsor view as 'platform stability' indicator.</w:t>
            </w:r>
          </w:p>
        </w:tc>
      </w:tr>
      <w:tr>
        <w:tc>
          <w:tcPr>
            <w:tcW w:type="dxa" w:w="2448"/>
            <w:shd w:val="clear" w:color="auto" w:fill="FFFFFF"/>
          </w:tcPr>
          <w:p>
            <w:pPr>
              <w:spacing w:before="60" w:after="60"/>
              <w:ind w:left="72"/>
            </w:pPr>
            <w:r>
              <w:rPr>
                <w:rFonts w:ascii="Arial" w:hAnsi="Arial"/>
                <w:color w:val="1F1F1F"/>
                <w:sz w:val="19"/>
              </w:rPr>
              <w:t>Knowledge Base</w:t>
              <w:br/>
              <w:t>(kb_knowledge)</w:t>
            </w:r>
          </w:p>
        </w:tc>
        <w:tc>
          <w:tcPr>
            <w:tcW w:type="dxa" w:w="2304"/>
            <w:shd w:val="clear" w:color="auto" w:fill="FFFFFF"/>
          </w:tcPr>
          <w:p>
            <w:pPr>
              <w:spacing w:before="60" w:after="60"/>
              <w:ind w:left="72"/>
            </w:pPr>
            <w:r>
              <w:rPr>
                <w:rFonts w:ascii="Arial" w:hAnsi="Arial"/>
                <w:color w:val="1F1F1F"/>
                <w:sz w:val="19"/>
              </w:rPr>
              <w:t>OOTB methodology articles we have published</w:t>
            </w:r>
          </w:p>
        </w:tc>
        <w:tc>
          <w:tcPr>
            <w:tcW w:type="dxa" w:w="4608"/>
            <w:shd w:val="clear" w:color="auto" w:fill="FFFFFF"/>
          </w:tcPr>
          <w:p>
            <w:pPr>
              <w:spacing w:before="60" w:after="60"/>
              <w:ind w:left="72"/>
            </w:pPr>
            <w:r>
              <w:rPr>
                <w:rFonts w:ascii="Arial" w:hAnsi="Arial"/>
                <w:color w:val="1F1F1F"/>
                <w:sz w:val="19"/>
              </w:rPr>
              <w:t>Methodology Content table references KB articles. Portal surfaces relevant articles by role and sprint. VA uses KB as answer source.</w:t>
            </w:r>
          </w:p>
        </w:tc>
      </w:tr>
      <w:tr>
        <w:tc>
          <w:tcPr>
            <w:tcW w:type="dxa" w:w="2448"/>
            <w:shd w:val="clear" w:color="auto" w:fill="F2F2F2"/>
          </w:tcPr>
          <w:p>
            <w:pPr>
              <w:spacing w:before="60" w:after="60"/>
              <w:ind w:left="72"/>
            </w:pPr>
            <w:r>
              <w:rPr>
                <w:rFonts w:ascii="Arial" w:hAnsi="Arial"/>
                <w:color w:val="1F1F1F"/>
                <w:sz w:val="19"/>
              </w:rPr>
              <w:t>Service Catalog</w:t>
              <w:br/>
              <w:t>(sc_cat_item)</w:t>
            </w:r>
          </w:p>
        </w:tc>
        <w:tc>
          <w:tcPr>
            <w:tcW w:type="dxa" w:w="2304"/>
            <w:shd w:val="clear" w:color="auto" w:fill="F2F2F2"/>
          </w:tcPr>
          <w:p>
            <w:pPr>
              <w:spacing w:before="60" w:after="60"/>
              <w:ind w:left="72"/>
            </w:pPr>
            <w:r>
              <w:rPr>
                <w:rFonts w:ascii="Arial" w:hAnsi="Arial"/>
                <w:color w:val="1F1F1F"/>
                <w:sz w:val="19"/>
              </w:rPr>
              <w:t>Catalog items built during delivery</w:t>
            </w:r>
          </w:p>
        </w:tc>
        <w:tc>
          <w:tcPr>
            <w:tcW w:type="dxa" w:w="4608"/>
            <w:shd w:val="clear" w:color="auto" w:fill="F2F2F2"/>
          </w:tcPr>
          <w:p>
            <w:pPr>
              <w:spacing w:before="60" w:after="60"/>
              <w:ind w:left="72"/>
            </w:pPr>
            <w:r>
              <w:rPr>
                <w:rFonts w:ascii="Arial" w:hAnsi="Arial"/>
                <w:color w:val="1F1F1F"/>
                <w:sz w:val="19"/>
              </w:rPr>
              <w:t>Completed catalog items shown on 'what we built' view. Count tracked as a delivery metric per sprint.</w:t>
            </w:r>
          </w:p>
        </w:tc>
      </w:tr>
      <w:tr>
        <w:tc>
          <w:tcPr>
            <w:tcW w:type="dxa" w:w="2448"/>
            <w:shd w:val="clear" w:color="auto" w:fill="FFFFFF"/>
          </w:tcPr>
          <w:p>
            <w:pPr>
              <w:spacing w:before="60" w:after="60"/>
              <w:ind w:left="72"/>
            </w:pPr>
            <w:r>
              <w:rPr>
                <w:rFonts w:ascii="Arial" w:hAnsi="Arial"/>
                <w:color w:val="1F1F1F"/>
                <w:sz w:val="19"/>
              </w:rPr>
              <w:t>Performance Analytics</w:t>
              <w:br/>
              <w:t>(pa_job, pa_widget)</w:t>
            </w:r>
          </w:p>
        </w:tc>
        <w:tc>
          <w:tcPr>
            <w:tcW w:type="dxa" w:w="2304"/>
            <w:shd w:val="clear" w:color="auto" w:fill="FFFFFF"/>
          </w:tcPr>
          <w:p>
            <w:pPr>
              <w:spacing w:before="60" w:after="60"/>
              <w:ind w:left="72"/>
            </w:pPr>
            <w:r>
              <w:rPr>
                <w:rFonts w:ascii="Arial" w:hAnsi="Arial"/>
                <w:color w:val="1F1F1F"/>
                <w:sz w:val="19"/>
              </w:rPr>
              <w:t>Live PA data for dashboard widgets</w:t>
            </w:r>
          </w:p>
        </w:tc>
        <w:tc>
          <w:tcPr>
            <w:tcW w:type="dxa" w:w="4608"/>
            <w:shd w:val="clear" w:color="auto" w:fill="FFFFFF"/>
          </w:tcPr>
          <w:p>
            <w:pPr>
              <w:spacing w:before="60" w:after="60"/>
              <w:ind w:left="72"/>
            </w:pPr>
            <w:r>
              <w:rPr>
                <w:rFonts w:ascii="Arial" w:hAnsi="Arial"/>
                <w:color w:val="1F1F1F"/>
                <w:sz w:val="19"/>
              </w:rPr>
              <w:t>All health trend charts use PA widgets embedded in the Service Portal. No static screenshots.</w:t>
            </w:r>
          </w:p>
        </w:tc>
      </w:tr>
      <w:tr>
        <w:tc>
          <w:tcPr>
            <w:tcW w:type="dxa" w:w="2448"/>
            <w:shd w:val="clear" w:color="auto" w:fill="F2F2F2"/>
          </w:tcPr>
          <w:p>
            <w:pPr>
              <w:spacing w:before="60" w:after="60"/>
              <w:ind w:left="72"/>
            </w:pPr>
            <w:r>
              <w:rPr>
                <w:rFonts w:ascii="Arial" w:hAnsi="Arial"/>
                <w:color w:val="1F1F1F"/>
                <w:sz w:val="19"/>
              </w:rPr>
              <w:t>Virtual Agent</w:t>
              <w:br/>
              <w:t>(va_topic, NLU model)</w:t>
            </w:r>
          </w:p>
        </w:tc>
        <w:tc>
          <w:tcPr>
            <w:tcW w:type="dxa" w:w="2304"/>
            <w:shd w:val="clear" w:color="auto" w:fill="F2F2F2"/>
          </w:tcPr>
          <w:p>
            <w:pPr>
              <w:spacing w:before="60" w:after="60"/>
              <w:ind w:left="72"/>
            </w:pPr>
            <w:r>
              <w:rPr>
                <w:rFonts w:ascii="Arial" w:hAnsi="Arial"/>
                <w:color w:val="1F1F1F"/>
                <w:sz w:val="19"/>
              </w:rPr>
              <w:t>Conversation topics for guidance</w:t>
            </w:r>
          </w:p>
        </w:tc>
        <w:tc>
          <w:tcPr>
            <w:tcW w:type="dxa" w:w="4608"/>
            <w:shd w:val="clear" w:color="auto" w:fill="F2F2F2"/>
          </w:tcPr>
          <w:p>
            <w:pPr>
              <w:spacing w:before="60" w:after="60"/>
              <w:ind w:left="72"/>
            </w:pPr>
            <w:r>
              <w:rPr>
                <w:rFonts w:ascii="Arial" w:hAnsi="Arial"/>
                <w:color w:val="1F1F1F"/>
                <w:sz w:val="19"/>
              </w:rPr>
              <w:t>VA topics answer 'what do I need to do in Sprint 3?' and route to content, decisions, or risk records.</w:t>
            </w:r>
          </w:p>
        </w:tc>
      </w:tr>
    </w:tbl>
    <w:p>
      <w:pPr>
        <w:spacing w:after="12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FEF9EC"/>
          </w:tcPr>
          <w:p>
            <w:pPr>
              <w:spacing w:before="120" w:after="40"/>
              <w:ind w:left="144"/>
            </w:pPr>
            <w:r>
              <w:rPr>
                <w:rFonts w:ascii="Arial" w:hAnsi="Arial"/>
                <w:b/>
                <w:color w:val="C9A02B"/>
                <w:sz w:val="20"/>
              </w:rPr>
              <w:t xml:space="preserve">PA Licensing note:  </w:t>
            </w:r>
            <w:r>
              <w:rPr>
                <w:rFonts w:ascii="Arial" w:hAnsi="Arial"/>
                <w:color w:val="1F1F1F"/>
                <w:sz w:val="20"/>
              </w:rPr>
              <w:t>Performance Analytics (PA) is a separately licensed ServiceNow product. If a customer does not have PA, health trend charts fall back to native platform reporting and list views. Core health scoring is unaffected — it runs from calculated fields, not PA. Confirm PA availability during Sprint 0 discovery.</w:t>
            </w:r>
          </w:p>
          <w:p>
            <w:pPr>
              <w:spacing w:after="120"/>
            </w:pPr>
          </w:p>
        </w:tc>
      </w:tr>
    </w:tbl>
    <w:p>
      <w:pPr>
        <w:spacing w:after="80"/>
      </w:pPr>
    </w:p>
    <w:p>
      <w:r>
        <w:br w:type="page"/>
      </w:r>
    </w:p>
    <w:p>
      <w:pPr>
        <w:spacing w:before="360" w:after="120"/>
        <w:pBdr>
          <w:bottom w:val="single" w:sz="6" w:space="1" w:color="1B3A6B"/>
        </w:pBdr>
      </w:pPr>
      <w:r>
        <w:rPr>
          <w:rFonts w:ascii="Arial" w:hAnsi="Arial"/>
          <w:b/>
          <w:color w:val="1B3A6B"/>
          <w:sz w:val="28"/>
        </w:rPr>
        <w:t>9. SERVICENOW STORE PATH</w:t>
      </w:r>
    </w:p>
    <w:p>
      <w:pPr>
        <w:spacing w:before="0" w:after="200"/>
        <w:jc w:val="left"/>
      </w:pPr>
      <w:r>
        <w:rPr>
          <w:rFonts w:ascii="Arial" w:hAnsi="Arial"/>
          <w:b w:val="0"/>
          <w:i w:val="0"/>
          <w:color w:val="1F1F1F"/>
          <w:sz w:val="21"/>
        </w:rPr>
        <w:t>Publishing to the ServiceNow Store is the preferred long-term commercial model. This section outlines requirements, timeline, and what must be decided before committing to the Store path.</w:t>
      </w:r>
    </w:p>
    <w:p>
      <w:pPr>
        <w:spacing w:before="240" w:after="80"/>
      </w:pPr>
      <w:r>
        <w:rPr>
          <w:rFonts w:ascii="Arial" w:hAnsi="Arial"/>
          <w:b/>
          <w:color w:val="2E75B6"/>
          <w:sz w:val="24"/>
        </w:rPr>
        <w:t>9.1  ISV Program Requirements</w:t>
      </w:r>
    </w:p>
    <w:p>
      <w:pPr>
        <w:pStyle w:val="ListBullet"/>
        <w:spacing w:after="60"/>
        <w:ind w:left="360"/>
      </w:pPr>
      <w:r>
        <w:rPr>
          <w:rFonts w:ascii="Arial" w:hAnsi="Arial"/>
          <w:color w:val="1F1F1F"/>
          <w:sz w:val="21"/>
        </w:rPr>
        <w:t>Everforth must be enrolled in the ServiceNow Technology Partner Program (or ISV program)</w:t>
      </w:r>
    </w:p>
    <w:p>
      <w:pPr>
        <w:pStyle w:val="ListBullet"/>
        <w:spacing w:after="60"/>
        <w:ind w:left="360"/>
      </w:pPr>
      <w:r>
        <w:rPr>
          <w:rFonts w:ascii="Arial" w:hAnsi="Arial"/>
          <w:color w:val="1F1F1F"/>
          <w:sz w:val="21"/>
        </w:rPr>
        <w:t>Application must pass automated ATF (Automated Testing Framework) test suite — minimum 80% coverage</w:t>
      </w:r>
    </w:p>
    <w:p>
      <w:pPr>
        <w:pStyle w:val="ListBullet"/>
        <w:spacing w:after="60"/>
        <w:ind w:left="360"/>
      </w:pPr>
      <w:r>
        <w:rPr>
          <w:rFonts w:ascii="Arial" w:hAnsi="Arial"/>
          <w:color w:val="1F1F1F"/>
          <w:sz w:val="21"/>
        </w:rPr>
        <w:t>Application must pass ServiceNow security review — no hardcoded credentials, scoped ACLs, no global scope writes</w:t>
      </w:r>
    </w:p>
    <w:p>
      <w:pPr>
        <w:pStyle w:val="ListBullet"/>
        <w:spacing w:after="60"/>
        <w:ind w:left="360"/>
      </w:pPr>
      <w:r>
        <w:rPr>
          <w:rFonts w:ascii="Arial" w:hAnsi="Arial"/>
          <w:color w:val="1F1F1F"/>
          <w:sz w:val="21"/>
        </w:rPr>
        <w:t>Application must meet Now Platform UX standards for Store listing</w:t>
      </w:r>
    </w:p>
    <w:p>
      <w:pPr>
        <w:pStyle w:val="ListBullet"/>
        <w:spacing w:after="60"/>
        <w:ind w:left="360"/>
      </w:pPr>
      <w:r>
        <w:rPr>
          <w:rFonts w:ascii="Arial" w:hAnsi="Arial"/>
          <w:color w:val="1F1F1F"/>
          <w:sz w:val="21"/>
        </w:rPr>
        <w:t>Version control via ServiceNow Studio source control (GitHub integration recommended)</w:t>
      </w:r>
    </w:p>
    <w:p>
      <w:pPr>
        <w:pStyle w:val="ListBullet"/>
        <w:spacing w:after="60"/>
        <w:ind w:left="360"/>
      </w:pPr>
      <w:r>
        <w:rPr>
          <w:rFonts w:ascii="Arial" w:hAnsi="Arial"/>
          <w:color w:val="1F1F1F"/>
          <w:sz w:val="21"/>
        </w:rPr>
        <w:t>Formal support model must be documented (SLA for defect resolution)</w:t>
      </w:r>
    </w:p>
    <w:p>
      <w:pPr>
        <w:spacing w:before="240" w:after="80"/>
      </w:pPr>
      <w:r>
        <w:rPr>
          <w:rFonts w:ascii="Arial" w:hAnsi="Arial"/>
          <w:b/>
          <w:color w:val="2E75B6"/>
          <w:sz w:val="24"/>
        </w:rPr>
        <w:t>9.2  Certification Timeline Estimate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592"/>
            <w:shd w:val="clear" w:color="auto" w:fill="1B3A6B"/>
          </w:tcPr>
          <w:p>
            <w:pPr>
              <w:spacing w:before="80" w:after="80"/>
              <w:ind w:left="72"/>
            </w:pPr>
            <w:r>
              <w:rPr>
                <w:rFonts w:ascii="Arial" w:hAnsi="Arial"/>
                <w:b/>
                <w:color w:val="FFFFFF"/>
                <w:sz w:val="20"/>
              </w:rPr>
              <w:t>Phase</w:t>
            </w:r>
          </w:p>
        </w:tc>
        <w:tc>
          <w:tcPr>
            <w:tcW w:type="dxa" w:w="2016"/>
            <w:shd w:val="clear" w:color="auto" w:fill="1B3A6B"/>
          </w:tcPr>
          <w:p>
            <w:pPr>
              <w:spacing w:before="80" w:after="80"/>
              <w:ind w:left="72"/>
            </w:pPr>
            <w:r>
              <w:rPr>
                <w:rFonts w:ascii="Arial" w:hAnsi="Arial"/>
                <w:b/>
                <w:color w:val="FFFFFF"/>
                <w:sz w:val="20"/>
              </w:rPr>
              <w:t>Estimated Duration</w:t>
            </w:r>
          </w:p>
        </w:tc>
        <w:tc>
          <w:tcPr>
            <w:tcW w:type="dxa" w:w="4752"/>
            <w:shd w:val="clear" w:color="auto" w:fill="1B3A6B"/>
          </w:tcPr>
          <w:p>
            <w:pPr>
              <w:spacing w:before="80" w:after="80"/>
              <w:ind w:left="72"/>
            </w:pPr>
            <w:r>
              <w:rPr>
                <w:rFonts w:ascii="Arial" w:hAnsi="Arial"/>
                <w:b/>
                <w:color w:val="FFFFFF"/>
                <w:sz w:val="20"/>
              </w:rPr>
              <w:t>Key Activities</w:t>
            </w:r>
          </w:p>
        </w:tc>
      </w:tr>
      <w:tr>
        <w:tc>
          <w:tcPr>
            <w:tcW w:type="dxa" w:w="2592"/>
            <w:shd w:val="clear" w:color="auto" w:fill="F2F2F2"/>
          </w:tcPr>
          <w:p>
            <w:pPr>
              <w:spacing w:before="60" w:after="60"/>
              <w:ind w:left="72"/>
            </w:pPr>
            <w:r>
              <w:rPr>
                <w:rFonts w:ascii="Arial" w:hAnsi="Arial"/>
                <w:color w:val="1F1F1F"/>
                <w:sz w:val="19"/>
              </w:rPr>
              <w:t>Partner enrollment</w:t>
            </w:r>
          </w:p>
        </w:tc>
        <w:tc>
          <w:tcPr>
            <w:tcW w:type="dxa" w:w="2016"/>
            <w:shd w:val="clear" w:color="auto" w:fill="F2F2F2"/>
          </w:tcPr>
          <w:p>
            <w:pPr>
              <w:spacing w:before="60" w:after="60"/>
              <w:ind w:left="72"/>
            </w:pPr>
            <w:r>
              <w:rPr>
                <w:rFonts w:ascii="Arial" w:hAnsi="Arial"/>
                <w:color w:val="1F1F1F"/>
                <w:sz w:val="19"/>
              </w:rPr>
              <w:t>4–6 weeks</w:t>
            </w:r>
          </w:p>
        </w:tc>
        <w:tc>
          <w:tcPr>
            <w:tcW w:type="dxa" w:w="4752"/>
            <w:shd w:val="clear" w:color="auto" w:fill="F2F2F2"/>
          </w:tcPr>
          <w:p>
            <w:pPr>
              <w:spacing w:before="60" w:after="60"/>
              <w:ind w:left="72"/>
            </w:pPr>
            <w:r>
              <w:rPr>
                <w:rFonts w:ascii="Arial" w:hAnsi="Arial"/>
                <w:color w:val="1F1F1F"/>
                <w:sz w:val="19"/>
              </w:rPr>
              <w:t>Complete ISV/Technology Partner application, legal review of partner agreement</w:t>
            </w:r>
          </w:p>
        </w:tc>
      </w:tr>
      <w:tr>
        <w:tc>
          <w:tcPr>
            <w:tcW w:type="dxa" w:w="2592"/>
            <w:shd w:val="clear" w:color="auto" w:fill="FFFFFF"/>
          </w:tcPr>
          <w:p>
            <w:pPr>
              <w:spacing w:before="60" w:after="60"/>
              <w:ind w:left="72"/>
            </w:pPr>
            <w:r>
              <w:rPr>
                <w:rFonts w:ascii="Arial" w:hAnsi="Arial"/>
                <w:color w:val="1F1F1F"/>
                <w:sz w:val="19"/>
              </w:rPr>
              <w:t>v1.0 development on PDI</w:t>
            </w:r>
          </w:p>
        </w:tc>
        <w:tc>
          <w:tcPr>
            <w:tcW w:type="dxa" w:w="2016"/>
            <w:shd w:val="clear" w:color="auto" w:fill="FFFFFF"/>
          </w:tcPr>
          <w:p>
            <w:pPr>
              <w:spacing w:before="60" w:after="60"/>
              <w:ind w:left="72"/>
            </w:pPr>
            <w:r>
              <w:rPr>
                <w:rFonts w:ascii="Arial" w:hAnsi="Arial"/>
                <w:color w:val="1F1F1F"/>
                <w:sz w:val="19"/>
              </w:rPr>
              <w:t>8–12 weeks</w:t>
            </w:r>
          </w:p>
        </w:tc>
        <w:tc>
          <w:tcPr>
            <w:tcW w:type="dxa" w:w="4752"/>
            <w:shd w:val="clear" w:color="auto" w:fill="FFFFFF"/>
          </w:tcPr>
          <w:p>
            <w:pPr>
              <w:spacing w:before="60" w:after="60"/>
              <w:ind w:left="72"/>
            </w:pPr>
            <w:r>
              <w:rPr>
                <w:rFonts w:ascii="Arial" w:hAnsi="Arial"/>
                <w:color w:val="1F1F1F"/>
                <w:sz w:val="19"/>
              </w:rPr>
              <w:t>Build on Personal Developer Instance, write ATF tests, internal QA</w:t>
            </w:r>
          </w:p>
        </w:tc>
      </w:tr>
      <w:tr>
        <w:tc>
          <w:tcPr>
            <w:tcW w:type="dxa" w:w="2592"/>
            <w:shd w:val="clear" w:color="auto" w:fill="F2F2F2"/>
          </w:tcPr>
          <w:p>
            <w:pPr>
              <w:spacing w:before="60" w:after="60"/>
              <w:ind w:left="72"/>
            </w:pPr>
            <w:r>
              <w:rPr>
                <w:rFonts w:ascii="Arial" w:hAnsi="Arial"/>
                <w:color w:val="1F1F1F"/>
                <w:sz w:val="19"/>
              </w:rPr>
              <w:t>Pre-certification scan</w:t>
            </w:r>
          </w:p>
        </w:tc>
        <w:tc>
          <w:tcPr>
            <w:tcW w:type="dxa" w:w="2016"/>
            <w:shd w:val="clear" w:color="auto" w:fill="F2F2F2"/>
          </w:tcPr>
          <w:p>
            <w:pPr>
              <w:spacing w:before="60" w:after="60"/>
              <w:ind w:left="72"/>
            </w:pPr>
            <w:r>
              <w:rPr>
                <w:rFonts w:ascii="Arial" w:hAnsi="Arial"/>
                <w:color w:val="1F1F1F"/>
                <w:sz w:val="19"/>
              </w:rPr>
              <w:t>2 weeks</w:t>
            </w:r>
          </w:p>
        </w:tc>
        <w:tc>
          <w:tcPr>
            <w:tcW w:type="dxa" w:w="4752"/>
            <w:shd w:val="clear" w:color="auto" w:fill="F2F2F2"/>
          </w:tcPr>
          <w:p>
            <w:pPr>
              <w:spacing w:before="60" w:after="60"/>
              <w:ind w:left="72"/>
            </w:pPr>
            <w:r>
              <w:rPr>
                <w:rFonts w:ascii="Arial" w:hAnsi="Arial"/>
                <w:color w:val="1F1F1F"/>
                <w:sz w:val="19"/>
              </w:rPr>
              <w:t>Run ServiceNow's internal scanner, fix flagged issues</w:t>
            </w:r>
          </w:p>
        </w:tc>
      </w:tr>
      <w:tr>
        <w:tc>
          <w:tcPr>
            <w:tcW w:type="dxa" w:w="2592"/>
            <w:shd w:val="clear" w:color="auto" w:fill="FFFFFF"/>
          </w:tcPr>
          <w:p>
            <w:pPr>
              <w:spacing w:before="60" w:after="60"/>
              <w:ind w:left="72"/>
            </w:pPr>
            <w:r>
              <w:rPr>
                <w:rFonts w:ascii="Arial" w:hAnsi="Arial"/>
                <w:color w:val="1F1F1F"/>
                <w:sz w:val="19"/>
              </w:rPr>
              <w:t>ServiceNow security review</w:t>
            </w:r>
          </w:p>
        </w:tc>
        <w:tc>
          <w:tcPr>
            <w:tcW w:type="dxa" w:w="2016"/>
            <w:shd w:val="clear" w:color="auto" w:fill="FFFFFF"/>
          </w:tcPr>
          <w:p>
            <w:pPr>
              <w:spacing w:before="60" w:after="60"/>
              <w:ind w:left="72"/>
            </w:pPr>
            <w:r>
              <w:rPr>
                <w:rFonts w:ascii="Arial" w:hAnsi="Arial"/>
                <w:color w:val="1F1F1F"/>
                <w:sz w:val="19"/>
              </w:rPr>
              <w:t>4–6 weeks</w:t>
            </w:r>
          </w:p>
        </w:tc>
        <w:tc>
          <w:tcPr>
            <w:tcW w:type="dxa" w:w="4752"/>
            <w:shd w:val="clear" w:color="auto" w:fill="FFFFFF"/>
          </w:tcPr>
          <w:p>
            <w:pPr>
              <w:spacing w:before="60" w:after="60"/>
              <w:ind w:left="72"/>
            </w:pPr>
            <w:r>
              <w:rPr>
                <w:rFonts w:ascii="Arial" w:hAnsi="Arial"/>
                <w:color w:val="1F1F1F"/>
                <w:sz w:val="19"/>
              </w:rPr>
              <w:t>ServiceNow team reviews app; typical 1–2 remediation cycles</w:t>
            </w:r>
          </w:p>
        </w:tc>
      </w:tr>
      <w:tr>
        <w:tc>
          <w:tcPr>
            <w:tcW w:type="dxa" w:w="2592"/>
            <w:shd w:val="clear" w:color="auto" w:fill="F2F2F2"/>
          </w:tcPr>
          <w:p>
            <w:pPr>
              <w:spacing w:before="60" w:after="60"/>
              <w:ind w:left="72"/>
            </w:pPr>
            <w:r>
              <w:rPr>
                <w:rFonts w:ascii="Arial" w:hAnsi="Arial"/>
                <w:color w:val="1F1F1F"/>
                <w:sz w:val="19"/>
              </w:rPr>
              <w:t>Store listing &amp; launch</w:t>
            </w:r>
          </w:p>
        </w:tc>
        <w:tc>
          <w:tcPr>
            <w:tcW w:type="dxa" w:w="2016"/>
            <w:shd w:val="clear" w:color="auto" w:fill="F2F2F2"/>
          </w:tcPr>
          <w:p>
            <w:pPr>
              <w:spacing w:before="60" w:after="60"/>
              <w:ind w:left="72"/>
            </w:pPr>
            <w:r>
              <w:rPr>
                <w:rFonts w:ascii="Arial" w:hAnsi="Arial"/>
                <w:color w:val="1F1F1F"/>
                <w:sz w:val="19"/>
              </w:rPr>
              <w:t>2–3 weeks</w:t>
            </w:r>
          </w:p>
        </w:tc>
        <w:tc>
          <w:tcPr>
            <w:tcW w:type="dxa" w:w="4752"/>
            <w:shd w:val="clear" w:color="auto" w:fill="F2F2F2"/>
          </w:tcPr>
          <w:p>
            <w:pPr>
              <w:spacing w:before="60" w:after="60"/>
              <w:ind w:left="72"/>
            </w:pPr>
            <w:r>
              <w:rPr>
                <w:rFonts w:ascii="Arial" w:hAnsi="Arial"/>
                <w:color w:val="1F1F1F"/>
                <w:sz w:val="19"/>
              </w:rPr>
              <w:t>Write listing, screenshots, pricing, submit for approval</w:t>
            </w:r>
          </w:p>
        </w:tc>
      </w:tr>
      <w:tr>
        <w:tc>
          <w:tcPr>
            <w:tcW w:type="dxa" w:w="2592"/>
            <w:shd w:val="clear" w:color="auto" w:fill="FFFFFF"/>
          </w:tcPr>
          <w:p>
            <w:pPr>
              <w:spacing w:before="60" w:after="60"/>
              <w:ind w:left="72"/>
            </w:pPr>
            <w:r>
              <w:rPr>
                <w:rFonts w:ascii="Arial" w:hAnsi="Arial"/>
                <w:color w:val="1F1F1F"/>
                <w:sz w:val="19"/>
              </w:rPr>
              <w:t>Total</w:t>
            </w:r>
          </w:p>
        </w:tc>
        <w:tc>
          <w:tcPr>
            <w:tcW w:type="dxa" w:w="2016"/>
            <w:shd w:val="clear" w:color="auto" w:fill="FFFFFF"/>
          </w:tcPr>
          <w:p>
            <w:pPr>
              <w:spacing w:before="60" w:after="60"/>
              <w:ind w:left="72"/>
            </w:pPr>
            <w:r>
              <w:rPr>
                <w:rFonts w:ascii="Arial" w:hAnsi="Arial"/>
                <w:color w:val="1F1F1F"/>
                <w:sz w:val="19"/>
              </w:rPr>
              <w:t>20–29 weeks</w:t>
            </w:r>
          </w:p>
        </w:tc>
        <w:tc>
          <w:tcPr>
            <w:tcW w:type="dxa" w:w="4752"/>
            <w:shd w:val="clear" w:color="auto" w:fill="FFFFFF"/>
          </w:tcPr>
          <w:p>
            <w:pPr>
              <w:spacing w:before="60" w:after="60"/>
              <w:ind w:left="72"/>
            </w:pPr>
            <w:r>
              <w:rPr>
                <w:rFonts w:ascii="Arial" w:hAnsi="Arial"/>
                <w:color w:val="1F1F1F"/>
                <w:sz w:val="19"/>
              </w:rPr>
              <w:t>Parallel with engagement delivery work; not a blocker for first use</w:t>
            </w:r>
          </w:p>
        </w:tc>
      </w:tr>
    </w:tbl>
    <w:p>
      <w:pPr>
        <w:spacing w:after="120"/>
      </w:pPr>
    </w:p>
    <w:p>
      <w:pPr>
        <w:spacing w:before="240" w:after="80"/>
      </w:pPr>
      <w:r>
        <w:rPr>
          <w:rFonts w:ascii="Arial" w:hAnsi="Arial"/>
          <w:b/>
          <w:color w:val="2E75B6"/>
          <w:sz w:val="24"/>
        </w:rPr>
        <w:t>9.3  Near-Term Distribution (Pre-Store)</w:t>
      </w:r>
    </w:p>
    <w:p>
      <w:pPr>
        <w:spacing w:before="0" w:after="160"/>
        <w:jc w:val="left"/>
      </w:pPr>
      <w:r>
        <w:rPr>
          <w:rFonts w:ascii="Arial" w:hAnsi="Arial"/>
          <w:b w:val="0"/>
          <w:i w:val="0"/>
          <w:color w:val="1F1F1F"/>
          <w:sz w:val="21"/>
        </w:rPr>
        <w:t>While the Store certification process runs, the application is distributed as an update set installed directly on each customer instance by the delivery team during Sprint 0. This requires no partner program enrollment and can begin immediately. The update set approach has one constraint: updates to the app must be manually pushed to each customer instance. Plan for a quarterly update cadence per engagement.</w:t>
      </w:r>
    </w:p>
    <w:p>
      <w:r>
        <w:br w:type="page"/>
      </w:r>
    </w:p>
    <w:p>
      <w:pPr>
        <w:spacing w:before="360" w:after="120"/>
        <w:pBdr>
          <w:bottom w:val="single" w:sz="6" w:space="1" w:color="1B3A6B"/>
        </w:pBdr>
      </w:pPr>
      <w:r>
        <w:rPr>
          <w:rFonts w:ascii="Arial" w:hAnsi="Arial"/>
          <w:b/>
          <w:color w:val="1B3A6B"/>
          <w:sz w:val="28"/>
        </w:rPr>
        <w:t>10. IMPLEMENTATION SEQUENCE</w:t>
      </w:r>
    </w:p>
    <w:p>
      <w:pPr>
        <w:spacing w:before="0" w:after="200"/>
        <w:jc w:val="left"/>
      </w:pPr>
      <w:r>
        <w:rPr>
          <w:rFonts w:ascii="Arial" w:hAnsi="Arial"/>
          <w:b w:val="0"/>
          <w:i w:val="0"/>
          <w:color w:val="1F1F1F"/>
          <w:sz w:val="21"/>
        </w:rPr>
        <w:t>The platform is built in four phases. The first phase produces a usable v0.5 that can be installed on the next engagement. Each phase adds capability without breaking what was built before.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1440"/>
            <w:shd w:val="clear" w:color="auto" w:fill="1B3A6B"/>
          </w:tcPr>
          <w:p>
            <w:pPr>
              <w:spacing w:before="80" w:after="80"/>
              <w:ind w:left="72"/>
            </w:pPr>
            <w:r>
              <w:rPr>
                <w:rFonts w:ascii="Arial" w:hAnsi="Arial"/>
                <w:b/>
                <w:color w:val="FFFFFF"/>
                <w:sz w:val="20"/>
              </w:rPr>
              <w:t>Phase</w:t>
            </w:r>
          </w:p>
        </w:tc>
        <w:tc>
          <w:tcPr>
            <w:tcW w:type="dxa" w:w="1296"/>
            <w:shd w:val="clear" w:color="auto" w:fill="1B3A6B"/>
          </w:tcPr>
          <w:p>
            <w:pPr>
              <w:spacing w:before="80" w:after="80"/>
              <w:ind w:left="72"/>
            </w:pPr>
            <w:r>
              <w:rPr>
                <w:rFonts w:ascii="Arial" w:hAnsi="Arial"/>
                <w:b/>
                <w:color w:val="FFFFFF"/>
                <w:sz w:val="20"/>
              </w:rPr>
              <w:t>Duration</w:t>
            </w:r>
          </w:p>
        </w:tc>
        <w:tc>
          <w:tcPr>
            <w:tcW w:type="dxa" w:w="4752"/>
            <w:shd w:val="clear" w:color="auto" w:fill="1B3A6B"/>
          </w:tcPr>
          <w:p>
            <w:pPr>
              <w:spacing w:before="80" w:after="80"/>
              <w:ind w:left="72"/>
            </w:pPr>
            <w:r>
              <w:rPr>
                <w:rFonts w:ascii="Arial" w:hAnsi="Arial"/>
                <w:b/>
                <w:color w:val="FFFFFF"/>
                <w:sz w:val="20"/>
              </w:rPr>
              <w:t>Deliverables</w:t>
            </w:r>
          </w:p>
        </w:tc>
        <w:tc>
          <w:tcPr>
            <w:tcW w:type="dxa" w:w="1872"/>
            <w:shd w:val="clear" w:color="auto" w:fill="1B3A6B"/>
          </w:tcPr>
          <w:p>
            <w:pPr>
              <w:spacing w:before="80" w:after="80"/>
              <w:ind w:left="72"/>
            </w:pPr>
            <w:r>
              <w:rPr>
                <w:rFonts w:ascii="Arial" w:hAnsi="Arial"/>
                <w:b/>
                <w:color w:val="FFFFFF"/>
                <w:sz w:val="20"/>
              </w:rPr>
              <w:t>Milestone</w:t>
            </w:r>
          </w:p>
        </w:tc>
      </w:tr>
      <w:tr>
        <w:tc>
          <w:tcPr>
            <w:tcW w:type="dxa" w:w="1440"/>
            <w:shd w:val="clear" w:color="auto" w:fill="F2F2F2"/>
          </w:tcPr>
          <w:p>
            <w:pPr>
              <w:spacing w:before="60" w:after="60"/>
              <w:ind w:left="72"/>
            </w:pPr>
            <w:r>
              <w:rPr>
                <w:rFonts w:ascii="Arial" w:hAnsi="Arial"/>
                <w:color w:val="1F1F1F"/>
                <w:sz w:val="19"/>
              </w:rPr>
              <w:t>Phase 1</w:t>
              <w:br/>
              <w:t>Foundation</w:t>
            </w:r>
          </w:p>
        </w:tc>
        <w:tc>
          <w:tcPr>
            <w:tcW w:type="dxa" w:w="1296"/>
            <w:shd w:val="clear" w:color="auto" w:fill="F2F2F2"/>
          </w:tcPr>
          <w:p>
            <w:pPr>
              <w:spacing w:before="60" w:after="60"/>
              <w:ind w:left="72"/>
            </w:pPr>
            <w:r>
              <w:rPr>
                <w:rFonts w:ascii="Arial" w:hAnsi="Arial"/>
                <w:color w:val="1F1F1F"/>
                <w:sz w:val="19"/>
              </w:rPr>
              <w:t>4–5 weeks</w:t>
            </w:r>
          </w:p>
        </w:tc>
        <w:tc>
          <w:tcPr>
            <w:tcW w:type="dxa" w:w="4752"/>
            <w:shd w:val="clear" w:color="auto" w:fill="F2F2F2"/>
          </w:tcPr>
          <w:p>
            <w:pPr>
              <w:spacing w:before="60" w:after="60"/>
              <w:ind w:left="72"/>
            </w:pPr>
            <w:r>
              <w:rPr>
                <w:rFonts w:ascii="Arial" w:hAnsi="Arial"/>
                <w:color w:val="1F1F1F"/>
                <w:sz w:val="19"/>
              </w:rPr>
              <w:t>App scope, all custom tables, basic CRUD UI, role setup, update set packaging, Engagement + Sprint Gate records</w:t>
            </w:r>
          </w:p>
        </w:tc>
        <w:tc>
          <w:tcPr>
            <w:tcW w:type="dxa" w:w="1872"/>
            <w:shd w:val="clear" w:color="auto" w:fill="F2F2F2"/>
          </w:tcPr>
          <w:p>
            <w:pPr>
              <w:spacing w:before="60" w:after="60"/>
              <w:ind w:left="72"/>
            </w:pPr>
            <w:r>
              <w:rPr>
                <w:rFonts w:ascii="Arial" w:hAnsi="Arial"/>
                <w:color w:val="1F1F1F"/>
                <w:sz w:val="19"/>
              </w:rPr>
              <w:t>v0.5: installable on first real engagement</w:t>
            </w:r>
          </w:p>
        </w:tc>
      </w:tr>
      <w:tr>
        <w:tc>
          <w:tcPr>
            <w:tcW w:type="dxa" w:w="1440"/>
            <w:shd w:val="clear" w:color="auto" w:fill="FFFFFF"/>
          </w:tcPr>
          <w:p>
            <w:pPr>
              <w:spacing w:before="60" w:after="60"/>
              <w:ind w:left="72"/>
            </w:pPr>
            <w:r>
              <w:rPr>
                <w:rFonts w:ascii="Arial" w:hAnsi="Arial"/>
                <w:color w:val="1F1F1F"/>
                <w:sz w:val="19"/>
              </w:rPr>
              <w:t>Phase 2</w:t>
              <w:br/>
              <w:t>Portal &amp; Health</w:t>
            </w:r>
          </w:p>
        </w:tc>
        <w:tc>
          <w:tcPr>
            <w:tcW w:type="dxa" w:w="1296"/>
            <w:shd w:val="clear" w:color="auto" w:fill="FFFFFF"/>
          </w:tcPr>
          <w:p>
            <w:pPr>
              <w:spacing w:before="60" w:after="60"/>
              <w:ind w:left="72"/>
            </w:pPr>
            <w:r>
              <w:rPr>
                <w:rFonts w:ascii="Arial" w:hAnsi="Arial"/>
                <w:color w:val="1F1F1F"/>
                <w:sz w:val="19"/>
              </w:rPr>
              <w:t>4–5 weeks</w:t>
            </w:r>
          </w:p>
        </w:tc>
        <w:tc>
          <w:tcPr>
            <w:tcW w:type="dxa" w:w="4752"/>
            <w:shd w:val="clear" w:color="auto" w:fill="FFFFFF"/>
          </w:tcPr>
          <w:p>
            <w:pPr>
              <w:spacing w:before="60" w:after="60"/>
              <w:ind w:left="72"/>
            </w:pPr>
            <w:r>
              <w:rPr>
                <w:rFonts w:ascii="Arial" w:hAnsi="Arial"/>
                <w:color w:val="1F1F1F"/>
                <w:sz w:val="19"/>
              </w:rPr>
              <w:t>Service Portal pages for all roles, health score calculation, Risk and Decision records, basic list/form views, portal access for customers</w:t>
            </w:r>
          </w:p>
        </w:tc>
        <w:tc>
          <w:tcPr>
            <w:tcW w:type="dxa" w:w="1872"/>
            <w:shd w:val="clear" w:color="auto" w:fill="FFFFFF"/>
          </w:tcPr>
          <w:p>
            <w:pPr>
              <w:spacing w:before="60" w:after="60"/>
              <w:ind w:left="72"/>
            </w:pPr>
            <w:r>
              <w:rPr>
                <w:rFonts w:ascii="Arial" w:hAnsi="Arial"/>
                <w:color w:val="1F1F1F"/>
                <w:sz w:val="19"/>
              </w:rPr>
              <w:t>v0.7: usable by customer stakeholders</w:t>
            </w:r>
          </w:p>
        </w:tc>
      </w:tr>
      <w:tr>
        <w:tc>
          <w:tcPr>
            <w:tcW w:type="dxa" w:w="1440"/>
            <w:shd w:val="clear" w:color="auto" w:fill="F2F2F2"/>
          </w:tcPr>
          <w:p>
            <w:pPr>
              <w:spacing w:before="60" w:after="60"/>
              <w:ind w:left="72"/>
            </w:pPr>
            <w:r>
              <w:rPr>
                <w:rFonts w:ascii="Arial" w:hAnsi="Arial"/>
                <w:color w:val="1F1F1F"/>
                <w:sz w:val="19"/>
              </w:rPr>
              <w:t>Phase 3</w:t>
              <w:br/>
              <w:t>Integrations</w:t>
            </w:r>
          </w:p>
        </w:tc>
        <w:tc>
          <w:tcPr>
            <w:tcW w:type="dxa" w:w="1296"/>
            <w:shd w:val="clear" w:color="auto" w:fill="F2F2F2"/>
          </w:tcPr>
          <w:p>
            <w:pPr>
              <w:spacing w:before="60" w:after="60"/>
              <w:ind w:left="72"/>
            </w:pPr>
            <w:r>
              <w:rPr>
                <w:rFonts w:ascii="Arial" w:hAnsi="Arial"/>
                <w:color w:val="1F1F1F"/>
                <w:sz w:val="19"/>
              </w:rPr>
              <w:t>3–4 weeks</w:t>
            </w:r>
          </w:p>
        </w:tc>
        <w:tc>
          <w:tcPr>
            <w:tcW w:type="dxa" w:w="4752"/>
            <w:shd w:val="clear" w:color="auto" w:fill="F2F2F2"/>
          </w:tcPr>
          <w:p>
            <w:pPr>
              <w:spacing w:before="60" w:after="60"/>
              <w:ind w:left="72"/>
            </w:pPr>
            <w:r>
              <w:rPr>
                <w:rFonts w:ascii="Arial" w:hAnsi="Arial"/>
                <w:color w:val="1F1F1F"/>
                <w:sz w:val="19"/>
              </w:rPr>
              <w:t>Agile and SPM live integration, velocity chart, milestone linking, Virtual Agent topics for content discovery, PA widgets for DM dashboard</w:t>
            </w:r>
          </w:p>
        </w:tc>
        <w:tc>
          <w:tcPr>
            <w:tcW w:type="dxa" w:w="1872"/>
            <w:shd w:val="clear" w:color="auto" w:fill="F2F2F2"/>
          </w:tcPr>
          <w:p>
            <w:pPr>
              <w:spacing w:before="60" w:after="60"/>
              <w:ind w:left="72"/>
            </w:pPr>
            <w:r>
              <w:rPr>
                <w:rFonts w:ascii="Arial" w:hAnsi="Arial"/>
                <w:color w:val="1F1F1F"/>
                <w:sz w:val="19"/>
              </w:rPr>
              <w:t>v0.9: replaces all spreadsheets</w:t>
            </w:r>
          </w:p>
        </w:tc>
      </w:tr>
      <w:tr>
        <w:tc>
          <w:tcPr>
            <w:tcW w:type="dxa" w:w="1440"/>
            <w:shd w:val="clear" w:color="auto" w:fill="FFFFFF"/>
          </w:tcPr>
          <w:p>
            <w:pPr>
              <w:spacing w:before="60" w:after="60"/>
              <w:ind w:left="72"/>
            </w:pPr>
            <w:r>
              <w:rPr>
                <w:rFonts w:ascii="Arial" w:hAnsi="Arial"/>
                <w:color w:val="1F1F1F"/>
                <w:sz w:val="19"/>
              </w:rPr>
              <w:t>Phase 4</w:t>
              <w:br/>
              <w:t>Content &amp; Polish</w:t>
            </w:r>
          </w:p>
        </w:tc>
        <w:tc>
          <w:tcPr>
            <w:tcW w:type="dxa" w:w="1296"/>
            <w:shd w:val="clear" w:color="auto" w:fill="FFFFFF"/>
          </w:tcPr>
          <w:p>
            <w:pPr>
              <w:spacing w:before="60" w:after="60"/>
              <w:ind w:left="72"/>
            </w:pPr>
            <w:r>
              <w:rPr>
                <w:rFonts w:ascii="Arial" w:hAnsi="Arial"/>
                <w:color w:val="1F1F1F"/>
                <w:sz w:val="19"/>
              </w:rPr>
              <w:t>3–4 weeks</w:t>
            </w:r>
          </w:p>
        </w:tc>
        <w:tc>
          <w:tcPr>
            <w:tcW w:type="dxa" w:w="4752"/>
            <w:shd w:val="clear" w:color="auto" w:fill="FFFFFF"/>
          </w:tcPr>
          <w:p>
            <w:pPr>
              <w:spacing w:before="60" w:after="60"/>
              <w:ind w:left="72"/>
            </w:pPr>
            <w:r>
              <w:rPr>
                <w:rFonts w:ascii="Arial" w:hAnsi="Arial"/>
                <w:color w:val="1F1F1F"/>
                <w:sz w:val="19"/>
              </w:rPr>
              <w:t>Methodology Content table populated from existing collateral, content tagging by role/sprint/workstream, Store prep, ATF test suite, documentation</w:t>
            </w:r>
          </w:p>
        </w:tc>
        <w:tc>
          <w:tcPr>
            <w:tcW w:type="dxa" w:w="1872"/>
            <w:shd w:val="clear" w:color="auto" w:fill="FFFFFF"/>
          </w:tcPr>
          <w:p>
            <w:pPr>
              <w:spacing w:before="60" w:after="60"/>
              <w:ind w:left="72"/>
            </w:pPr>
            <w:r>
              <w:rPr>
                <w:rFonts w:ascii="Arial" w:hAnsi="Arial"/>
                <w:color w:val="1F1F1F"/>
                <w:sz w:val="19"/>
              </w:rPr>
              <w:t>v1.0: Store-ready, commercially distributable</w:t>
            </w:r>
          </w:p>
        </w:tc>
      </w:tr>
    </w:tbl>
    <w:p>
      <w:pPr>
        <w:spacing w:after="120"/>
      </w:pPr>
    </w:p>
    <w:p>
      <w:pPr>
        <w:spacing w:before="240" w:after="80"/>
      </w:pPr>
      <w:r>
        <w:rPr>
          <w:rFonts w:ascii="Arial" w:hAnsi="Arial"/>
          <w:b/>
          <w:color w:val="2E75B6"/>
          <w:sz w:val="24"/>
        </w:rPr>
        <w:t>10.1  Resource Model</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3168"/>
            <w:shd w:val="clear" w:color="auto" w:fill="1B3A6B"/>
          </w:tcPr>
          <w:p>
            <w:pPr>
              <w:spacing w:before="80" w:after="80"/>
              <w:ind w:left="72"/>
            </w:pPr>
            <w:r>
              <w:rPr>
                <w:rFonts w:ascii="Arial" w:hAnsi="Arial"/>
                <w:b/>
                <w:color w:val="FFFFFF"/>
                <w:sz w:val="20"/>
              </w:rPr>
              <w:t>Role</w:t>
            </w:r>
          </w:p>
        </w:tc>
        <w:tc>
          <w:tcPr>
            <w:tcW w:type="dxa" w:w="1296"/>
            <w:shd w:val="clear" w:color="auto" w:fill="1B3A6B"/>
          </w:tcPr>
          <w:p>
            <w:pPr>
              <w:spacing w:before="80" w:after="80"/>
              <w:ind w:left="72"/>
            </w:pPr>
            <w:r>
              <w:rPr>
                <w:rFonts w:ascii="Arial" w:hAnsi="Arial"/>
                <w:b/>
                <w:color w:val="FFFFFF"/>
                <w:sz w:val="20"/>
              </w:rPr>
              <w:t>Phase 1</w:t>
            </w:r>
          </w:p>
        </w:tc>
        <w:tc>
          <w:tcPr>
            <w:tcW w:type="dxa" w:w="1296"/>
            <w:shd w:val="clear" w:color="auto" w:fill="1B3A6B"/>
          </w:tcPr>
          <w:p>
            <w:pPr>
              <w:spacing w:before="80" w:after="80"/>
              <w:ind w:left="72"/>
            </w:pPr>
            <w:r>
              <w:rPr>
                <w:rFonts w:ascii="Arial" w:hAnsi="Arial"/>
                <w:b/>
                <w:color w:val="FFFFFF"/>
                <w:sz w:val="20"/>
              </w:rPr>
              <w:t>Phase 2</w:t>
            </w:r>
          </w:p>
        </w:tc>
        <w:tc>
          <w:tcPr>
            <w:tcW w:type="dxa" w:w="1296"/>
            <w:shd w:val="clear" w:color="auto" w:fill="1B3A6B"/>
          </w:tcPr>
          <w:p>
            <w:pPr>
              <w:spacing w:before="80" w:after="80"/>
              <w:ind w:left="72"/>
            </w:pPr>
            <w:r>
              <w:rPr>
                <w:rFonts w:ascii="Arial" w:hAnsi="Arial"/>
                <w:b/>
                <w:color w:val="FFFFFF"/>
                <w:sz w:val="20"/>
              </w:rPr>
              <w:t>Phase 3</w:t>
            </w:r>
          </w:p>
        </w:tc>
        <w:tc>
          <w:tcPr>
            <w:tcW w:type="dxa" w:w="1296"/>
            <w:shd w:val="clear" w:color="auto" w:fill="1B3A6B"/>
          </w:tcPr>
          <w:p>
            <w:pPr>
              <w:spacing w:before="80" w:after="80"/>
              <w:ind w:left="72"/>
            </w:pPr>
            <w:r>
              <w:rPr>
                <w:rFonts w:ascii="Arial" w:hAnsi="Arial"/>
                <w:b/>
                <w:color w:val="FFFFFF"/>
                <w:sz w:val="20"/>
              </w:rPr>
              <w:t>Phase 4</w:t>
            </w:r>
          </w:p>
        </w:tc>
      </w:tr>
      <w:tr>
        <w:tc>
          <w:tcPr>
            <w:tcW w:type="dxa" w:w="3168"/>
            <w:shd w:val="clear" w:color="auto" w:fill="F2F2F2"/>
          </w:tcPr>
          <w:p>
            <w:pPr>
              <w:spacing w:before="60" w:after="60"/>
              <w:ind w:left="72"/>
            </w:pPr>
            <w:r>
              <w:rPr>
                <w:rFonts w:ascii="Arial" w:hAnsi="Arial"/>
                <w:color w:val="1F1F1F"/>
                <w:sz w:val="19"/>
              </w:rPr>
              <w:t>Lead Architect / App Developer</w:t>
            </w:r>
          </w:p>
        </w:tc>
        <w:tc>
          <w:tcPr>
            <w:tcW w:type="dxa" w:w="1296"/>
            <w:shd w:val="clear" w:color="auto" w:fill="F2F2F2"/>
          </w:tcPr>
          <w:p>
            <w:pPr>
              <w:spacing w:before="60" w:after="60"/>
              <w:ind w:left="72"/>
            </w:pPr>
            <w:r>
              <w:rPr>
                <w:rFonts w:ascii="Arial" w:hAnsi="Arial"/>
                <w:color w:val="1F1F1F"/>
                <w:sz w:val="19"/>
              </w:rPr>
              <w:t>Full</w:t>
            </w:r>
          </w:p>
        </w:tc>
        <w:tc>
          <w:tcPr>
            <w:tcW w:type="dxa" w:w="1296"/>
            <w:shd w:val="clear" w:color="auto" w:fill="F2F2F2"/>
          </w:tcPr>
          <w:p>
            <w:pPr>
              <w:spacing w:before="60" w:after="60"/>
              <w:ind w:left="72"/>
            </w:pPr>
            <w:r>
              <w:rPr>
                <w:rFonts w:ascii="Arial" w:hAnsi="Arial"/>
                <w:color w:val="1F1F1F"/>
                <w:sz w:val="19"/>
              </w:rPr>
              <w:t>Full</w:t>
            </w:r>
          </w:p>
        </w:tc>
        <w:tc>
          <w:tcPr>
            <w:tcW w:type="dxa" w:w="1296"/>
            <w:shd w:val="clear" w:color="auto" w:fill="F2F2F2"/>
          </w:tcPr>
          <w:p>
            <w:pPr>
              <w:spacing w:before="60" w:after="60"/>
              <w:ind w:left="72"/>
            </w:pPr>
            <w:r>
              <w:rPr>
                <w:rFonts w:ascii="Arial" w:hAnsi="Arial"/>
                <w:color w:val="1F1F1F"/>
                <w:sz w:val="19"/>
              </w:rPr>
              <w:t>Full</w:t>
            </w:r>
          </w:p>
        </w:tc>
        <w:tc>
          <w:tcPr>
            <w:tcW w:type="dxa" w:w="1296"/>
            <w:shd w:val="clear" w:color="auto" w:fill="F2F2F2"/>
          </w:tcPr>
          <w:p>
            <w:pPr>
              <w:spacing w:before="60" w:after="60"/>
              <w:ind w:left="72"/>
            </w:pPr>
            <w:r>
              <w:rPr>
                <w:rFonts w:ascii="Arial" w:hAnsi="Arial"/>
                <w:color w:val="1F1F1F"/>
                <w:sz w:val="19"/>
              </w:rPr>
              <w:t>Part</w:t>
            </w:r>
          </w:p>
        </w:tc>
      </w:tr>
      <w:tr>
        <w:tc>
          <w:tcPr>
            <w:tcW w:type="dxa" w:w="3168"/>
            <w:shd w:val="clear" w:color="auto" w:fill="FFFFFF"/>
          </w:tcPr>
          <w:p>
            <w:pPr>
              <w:spacing w:before="60" w:after="60"/>
              <w:ind w:left="72"/>
            </w:pPr>
            <w:r>
              <w:rPr>
                <w:rFonts w:ascii="Arial" w:hAnsi="Arial"/>
                <w:color w:val="1F1F1F"/>
                <w:sz w:val="19"/>
              </w:rPr>
              <w:t>Delivery Manager</w:t>
            </w:r>
          </w:p>
        </w:tc>
        <w:tc>
          <w:tcPr>
            <w:tcW w:type="dxa" w:w="1296"/>
            <w:shd w:val="clear" w:color="auto" w:fill="FFFFFF"/>
          </w:tcPr>
          <w:p>
            <w:pPr>
              <w:spacing w:before="60" w:after="60"/>
              <w:ind w:left="72"/>
            </w:pPr>
            <w:r>
              <w:rPr>
                <w:rFonts w:ascii="Arial" w:hAnsi="Arial"/>
                <w:color w:val="1F1F1F"/>
                <w:sz w:val="19"/>
              </w:rPr>
              <w:t>Part</w:t>
            </w:r>
          </w:p>
        </w:tc>
        <w:tc>
          <w:tcPr>
            <w:tcW w:type="dxa" w:w="1296"/>
            <w:shd w:val="clear" w:color="auto" w:fill="FFFFFF"/>
          </w:tcPr>
          <w:p>
            <w:pPr>
              <w:spacing w:before="60" w:after="60"/>
              <w:ind w:left="72"/>
            </w:pPr>
            <w:r>
              <w:rPr>
                <w:rFonts w:ascii="Arial" w:hAnsi="Arial"/>
                <w:color w:val="1F1F1F"/>
                <w:sz w:val="19"/>
              </w:rPr>
              <w:t>Part</w:t>
            </w:r>
          </w:p>
        </w:tc>
        <w:tc>
          <w:tcPr>
            <w:tcW w:type="dxa" w:w="1296"/>
            <w:shd w:val="clear" w:color="auto" w:fill="FFFFFF"/>
          </w:tcPr>
          <w:p>
            <w:pPr>
              <w:spacing w:before="60" w:after="60"/>
              <w:ind w:left="72"/>
            </w:pPr>
            <w:r>
              <w:rPr>
                <w:rFonts w:ascii="Arial" w:hAnsi="Arial"/>
                <w:color w:val="1F1F1F"/>
                <w:sz w:val="19"/>
              </w:rPr>
              <w:t>Part</w:t>
            </w:r>
          </w:p>
        </w:tc>
        <w:tc>
          <w:tcPr>
            <w:tcW w:type="dxa" w:w="1296"/>
            <w:shd w:val="clear" w:color="auto" w:fill="FFFFFF"/>
          </w:tcPr>
          <w:p>
            <w:pPr>
              <w:spacing w:before="60" w:after="60"/>
              <w:ind w:left="72"/>
            </w:pPr>
            <w:r>
              <w:rPr>
                <w:rFonts w:ascii="Arial" w:hAnsi="Arial"/>
                <w:color w:val="1F1F1F"/>
                <w:sz w:val="19"/>
              </w:rPr>
              <w:t>Full</w:t>
            </w:r>
          </w:p>
        </w:tc>
      </w:tr>
      <w:tr>
        <w:tc>
          <w:tcPr>
            <w:tcW w:type="dxa" w:w="3168"/>
            <w:shd w:val="clear" w:color="auto" w:fill="F2F2F2"/>
          </w:tcPr>
          <w:p>
            <w:pPr>
              <w:spacing w:before="60" w:after="60"/>
              <w:ind w:left="72"/>
            </w:pPr>
            <w:r>
              <w:rPr>
                <w:rFonts w:ascii="Arial" w:hAnsi="Arial"/>
                <w:color w:val="1F1F1F"/>
                <w:sz w:val="19"/>
              </w:rPr>
              <w:t>Content / Methodology Owner</w:t>
            </w:r>
          </w:p>
        </w:tc>
        <w:tc>
          <w:tcPr>
            <w:tcW w:type="dxa" w:w="1296"/>
            <w:shd w:val="clear" w:color="auto" w:fill="F2F2F2"/>
          </w:tcPr>
          <w:p>
            <w:pPr>
              <w:spacing w:before="60" w:after="60"/>
              <w:ind w:left="72"/>
            </w:pPr>
            <w:r>
              <w:rPr>
                <w:rFonts w:ascii="Arial" w:hAnsi="Arial"/>
                <w:color w:val="1F1F1F"/>
                <w:sz w:val="19"/>
              </w:rPr>
              <w:t>Advisory</w:t>
            </w:r>
          </w:p>
        </w:tc>
        <w:tc>
          <w:tcPr>
            <w:tcW w:type="dxa" w:w="1296"/>
            <w:shd w:val="clear" w:color="auto" w:fill="F2F2F2"/>
          </w:tcPr>
          <w:p>
            <w:pPr>
              <w:spacing w:before="60" w:after="60"/>
              <w:ind w:left="72"/>
            </w:pPr>
            <w:r>
              <w:rPr>
                <w:rFonts w:ascii="Arial" w:hAnsi="Arial"/>
                <w:color w:val="1F1F1F"/>
                <w:sz w:val="19"/>
              </w:rPr>
              <w:t>Advisory</w:t>
            </w:r>
          </w:p>
        </w:tc>
        <w:tc>
          <w:tcPr>
            <w:tcW w:type="dxa" w:w="1296"/>
            <w:shd w:val="clear" w:color="auto" w:fill="F2F2F2"/>
          </w:tcPr>
          <w:p>
            <w:pPr>
              <w:spacing w:before="60" w:after="60"/>
              <w:ind w:left="72"/>
            </w:pPr>
            <w:r>
              <w:rPr>
                <w:rFonts w:ascii="Arial" w:hAnsi="Arial"/>
                <w:color w:val="1F1F1F"/>
                <w:sz w:val="19"/>
              </w:rPr>
              <w:t>Part</w:t>
            </w:r>
          </w:p>
        </w:tc>
        <w:tc>
          <w:tcPr>
            <w:tcW w:type="dxa" w:w="1296"/>
            <w:shd w:val="clear" w:color="auto" w:fill="F2F2F2"/>
          </w:tcPr>
          <w:p>
            <w:pPr>
              <w:spacing w:before="60" w:after="60"/>
              <w:ind w:left="72"/>
            </w:pPr>
            <w:r>
              <w:rPr>
                <w:rFonts w:ascii="Arial" w:hAnsi="Arial"/>
                <w:color w:val="1F1F1F"/>
                <w:sz w:val="19"/>
              </w:rPr>
              <w:t>Full</w:t>
            </w:r>
          </w:p>
        </w:tc>
      </w:tr>
      <w:tr>
        <w:tc>
          <w:tcPr>
            <w:tcW w:type="dxa" w:w="3168"/>
            <w:shd w:val="clear" w:color="auto" w:fill="FFFFFF"/>
          </w:tcPr>
          <w:p>
            <w:pPr>
              <w:spacing w:before="60" w:after="60"/>
              <w:ind w:left="72"/>
            </w:pPr>
            <w:r>
              <w:rPr>
                <w:rFonts w:ascii="Arial" w:hAnsi="Arial"/>
                <w:color w:val="1F1F1F"/>
                <w:sz w:val="19"/>
              </w:rPr>
              <w:t>QA / ATF Engineer</w:t>
            </w:r>
          </w:p>
        </w:tc>
        <w:tc>
          <w:tcPr>
            <w:tcW w:type="dxa" w:w="1296"/>
            <w:shd w:val="clear" w:color="auto" w:fill="FFFFFF"/>
          </w:tcPr>
          <w:p>
            <w:pPr>
              <w:spacing w:before="60" w:after="60"/>
              <w:ind w:left="72"/>
            </w:pPr>
            <w:r>
              <w:rPr>
                <w:rFonts w:ascii="Arial" w:hAnsi="Arial"/>
                <w:color w:val="1F1F1F"/>
                <w:sz w:val="19"/>
              </w:rPr>
              <w:t>—</w:t>
            </w:r>
          </w:p>
        </w:tc>
        <w:tc>
          <w:tcPr>
            <w:tcW w:type="dxa" w:w="1296"/>
            <w:shd w:val="clear" w:color="auto" w:fill="FFFFFF"/>
          </w:tcPr>
          <w:p>
            <w:pPr>
              <w:spacing w:before="60" w:after="60"/>
              <w:ind w:left="72"/>
            </w:pPr>
            <w:r>
              <w:rPr>
                <w:rFonts w:ascii="Arial" w:hAnsi="Arial"/>
                <w:color w:val="1F1F1F"/>
                <w:sz w:val="19"/>
              </w:rPr>
              <w:t>Part</w:t>
            </w:r>
          </w:p>
        </w:tc>
        <w:tc>
          <w:tcPr>
            <w:tcW w:type="dxa" w:w="1296"/>
            <w:shd w:val="clear" w:color="auto" w:fill="FFFFFF"/>
          </w:tcPr>
          <w:p>
            <w:pPr>
              <w:spacing w:before="60" w:after="60"/>
              <w:ind w:left="72"/>
            </w:pPr>
            <w:r>
              <w:rPr>
                <w:rFonts w:ascii="Arial" w:hAnsi="Arial"/>
                <w:color w:val="1F1F1F"/>
                <w:sz w:val="19"/>
              </w:rPr>
              <w:t>Part</w:t>
            </w:r>
          </w:p>
        </w:tc>
        <w:tc>
          <w:tcPr>
            <w:tcW w:type="dxa" w:w="1296"/>
            <w:shd w:val="clear" w:color="auto" w:fill="FFFFFF"/>
          </w:tcPr>
          <w:p>
            <w:pPr>
              <w:spacing w:before="60" w:after="60"/>
              <w:ind w:left="72"/>
            </w:pPr>
            <w:r>
              <w:rPr>
                <w:rFonts w:ascii="Arial" w:hAnsi="Arial"/>
                <w:color w:val="1F1F1F"/>
                <w:sz w:val="19"/>
              </w:rPr>
              <w:t>Full</w:t>
            </w:r>
          </w:p>
        </w:tc>
      </w:tr>
      <w:tr>
        <w:tc>
          <w:tcPr>
            <w:tcW w:type="dxa" w:w="3168"/>
            <w:shd w:val="clear" w:color="auto" w:fill="F2F2F2"/>
          </w:tcPr>
          <w:p>
            <w:pPr>
              <w:spacing w:before="60" w:after="60"/>
              <w:ind w:left="72"/>
            </w:pPr>
            <w:r>
              <w:rPr>
                <w:rFonts w:ascii="Arial" w:hAnsi="Arial"/>
                <w:color w:val="1F1F1F"/>
                <w:sz w:val="19"/>
              </w:rPr>
              <w:t>Practice Leader (review/sign-off)</w:t>
            </w:r>
          </w:p>
        </w:tc>
        <w:tc>
          <w:tcPr>
            <w:tcW w:type="dxa" w:w="1296"/>
            <w:shd w:val="clear" w:color="auto" w:fill="F2F2F2"/>
          </w:tcPr>
          <w:p>
            <w:pPr>
              <w:spacing w:before="60" w:after="60"/>
              <w:ind w:left="72"/>
            </w:pPr>
            <w:r>
              <w:rPr>
                <w:rFonts w:ascii="Arial" w:hAnsi="Arial"/>
                <w:color w:val="1F1F1F"/>
                <w:sz w:val="19"/>
              </w:rPr>
              <w:t>Milestone</w:t>
            </w:r>
          </w:p>
        </w:tc>
        <w:tc>
          <w:tcPr>
            <w:tcW w:type="dxa" w:w="1296"/>
            <w:shd w:val="clear" w:color="auto" w:fill="F2F2F2"/>
          </w:tcPr>
          <w:p>
            <w:pPr>
              <w:spacing w:before="60" w:after="60"/>
              <w:ind w:left="72"/>
            </w:pPr>
            <w:r>
              <w:rPr>
                <w:rFonts w:ascii="Arial" w:hAnsi="Arial"/>
                <w:color w:val="1F1F1F"/>
                <w:sz w:val="19"/>
              </w:rPr>
              <w:t>Milestone</w:t>
            </w:r>
          </w:p>
        </w:tc>
        <w:tc>
          <w:tcPr>
            <w:tcW w:type="dxa" w:w="1296"/>
            <w:shd w:val="clear" w:color="auto" w:fill="F2F2F2"/>
          </w:tcPr>
          <w:p>
            <w:pPr>
              <w:spacing w:before="60" w:after="60"/>
              <w:ind w:left="72"/>
            </w:pPr>
            <w:r>
              <w:rPr>
                <w:rFonts w:ascii="Arial" w:hAnsi="Arial"/>
                <w:color w:val="1F1F1F"/>
                <w:sz w:val="19"/>
              </w:rPr>
              <w:t>Milestone</w:t>
            </w:r>
          </w:p>
        </w:tc>
        <w:tc>
          <w:tcPr>
            <w:tcW w:type="dxa" w:w="1296"/>
            <w:shd w:val="clear" w:color="auto" w:fill="F2F2F2"/>
          </w:tcPr>
          <w:p>
            <w:pPr>
              <w:spacing w:before="60" w:after="60"/>
              <w:ind w:left="72"/>
            </w:pPr>
            <w:r>
              <w:rPr>
                <w:rFonts w:ascii="Arial" w:hAnsi="Arial"/>
                <w:color w:val="1F1F1F"/>
                <w:sz w:val="19"/>
              </w:rPr>
              <w:t>Milestone</w:t>
            </w:r>
          </w:p>
        </w:tc>
      </w:tr>
    </w:tbl>
    <w:p>
      <w:pPr>
        <w:spacing w:after="120"/>
      </w:pPr>
    </w:p>
    <w:p>
      <w:r>
        <w:br w:type="page"/>
      </w:r>
    </w:p>
    <w:p>
      <w:pPr>
        <w:spacing w:before="360" w:after="120"/>
        <w:pBdr>
          <w:bottom w:val="single" w:sz="6" w:space="1" w:color="1B3A6B"/>
        </w:pBdr>
      </w:pPr>
      <w:r>
        <w:rPr>
          <w:rFonts w:ascii="Arial" w:hAnsi="Arial"/>
          <w:b/>
          <w:color w:val="1B3A6B"/>
          <w:sz w:val="28"/>
        </w:rPr>
        <w:t>11. TRADE-OFFS VS. BLUEPRINT B (TABLE EXTENDS)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2160"/>
            <w:shd w:val="clear" w:color="auto" w:fill="1B3A6B"/>
          </w:tcPr>
          <w:p>
            <w:pPr>
              <w:spacing w:before="80" w:after="80"/>
              <w:ind w:left="72"/>
            </w:pPr>
            <w:r>
              <w:rPr>
                <w:rFonts w:ascii="Arial" w:hAnsi="Arial"/>
                <w:b/>
                <w:color w:val="FFFFFF"/>
                <w:sz w:val="20"/>
              </w:rPr>
              <w:t>Dimension</w:t>
            </w:r>
          </w:p>
        </w:tc>
        <w:tc>
          <w:tcPr>
            <w:tcW w:type="dxa" w:w="3600"/>
            <w:shd w:val="clear" w:color="auto" w:fill="1B3A6B"/>
          </w:tcPr>
          <w:p>
            <w:pPr>
              <w:spacing w:before="80" w:after="80"/>
              <w:ind w:left="72"/>
            </w:pPr>
            <w:r>
              <w:rPr>
                <w:rFonts w:ascii="Arial" w:hAnsi="Arial"/>
                <w:b/>
                <w:color w:val="FFFFFF"/>
                <w:sz w:val="20"/>
              </w:rPr>
              <w:t>Blueprint A (Custom App)</w:t>
            </w:r>
          </w:p>
        </w:tc>
        <w:tc>
          <w:tcPr>
            <w:tcW w:type="dxa" w:w="3600"/>
            <w:shd w:val="clear" w:color="auto" w:fill="1B3A6B"/>
          </w:tcPr>
          <w:p>
            <w:pPr>
              <w:spacing w:before="80" w:after="80"/>
              <w:ind w:left="72"/>
            </w:pPr>
            <w:r>
              <w:rPr>
                <w:rFonts w:ascii="Arial" w:hAnsi="Arial"/>
                <w:b/>
                <w:color w:val="FFFFFF"/>
                <w:sz w:val="20"/>
              </w:rPr>
              <w:t>Blueprint B (Table Extends)</w:t>
            </w:r>
          </w:p>
        </w:tc>
      </w:tr>
      <w:tr>
        <w:tc>
          <w:tcPr>
            <w:tcW w:type="dxa" w:w="2160"/>
            <w:shd w:val="clear" w:color="auto" w:fill="F2F2F2"/>
          </w:tcPr>
          <w:p>
            <w:pPr>
              <w:spacing w:before="60" w:after="60"/>
              <w:ind w:left="72"/>
            </w:pPr>
            <w:r>
              <w:rPr>
                <w:rFonts w:ascii="Arial" w:hAnsi="Arial"/>
                <w:color w:val="1F1F1F"/>
                <w:sz w:val="19"/>
              </w:rPr>
              <w:t>Custom Table SKU</w:t>
            </w:r>
          </w:p>
        </w:tc>
        <w:tc>
          <w:tcPr>
            <w:tcW w:type="dxa" w:w="3600"/>
            <w:shd w:val="clear" w:color="auto" w:fill="F2F2F2"/>
          </w:tcPr>
          <w:p>
            <w:pPr>
              <w:spacing w:before="60" w:after="60"/>
              <w:ind w:left="72"/>
            </w:pPr>
            <w:r>
              <w:rPr>
                <w:rFonts w:ascii="Arial" w:hAnsi="Arial"/>
                <w:color w:val="1F1F1F"/>
                <w:sz w:val="19"/>
              </w:rPr>
              <w:t>Requires App Engine or custom table entitlement on customer instance</w:t>
            </w:r>
          </w:p>
        </w:tc>
        <w:tc>
          <w:tcPr>
            <w:tcW w:type="dxa" w:w="3600"/>
            <w:shd w:val="clear" w:color="auto" w:fill="F2F2F2"/>
          </w:tcPr>
          <w:p>
            <w:pPr>
              <w:spacing w:before="60" w:after="60"/>
              <w:ind w:left="72"/>
            </w:pPr>
            <w:r>
              <w:rPr>
                <w:rFonts w:ascii="Arial" w:hAnsi="Arial"/>
                <w:color w:val="1F1F1F"/>
                <w:sz w:val="19"/>
              </w:rPr>
              <w:t>Avoids custom tables — uses native table extensions only</w:t>
            </w:r>
          </w:p>
        </w:tc>
      </w:tr>
      <w:tr>
        <w:tc>
          <w:tcPr>
            <w:tcW w:type="dxa" w:w="2160"/>
            <w:shd w:val="clear" w:color="auto" w:fill="FFFFFF"/>
          </w:tcPr>
          <w:p>
            <w:pPr>
              <w:spacing w:before="60" w:after="60"/>
              <w:ind w:left="72"/>
            </w:pPr>
            <w:r>
              <w:rPr>
                <w:rFonts w:ascii="Arial" w:hAnsi="Arial"/>
                <w:color w:val="1F1F1F"/>
                <w:sz w:val="19"/>
              </w:rPr>
              <w:t>Data Model Control</w:t>
            </w:r>
          </w:p>
        </w:tc>
        <w:tc>
          <w:tcPr>
            <w:tcW w:type="dxa" w:w="3600"/>
            <w:shd w:val="clear" w:color="auto" w:fill="FFFFFF"/>
          </w:tcPr>
          <w:p>
            <w:pPr>
              <w:spacing w:before="60" w:after="60"/>
              <w:ind w:left="72"/>
            </w:pPr>
            <w:r>
              <w:rPr>
                <w:rFonts w:ascii="Arial" w:hAnsi="Arial"/>
                <w:color w:val="1F1F1F"/>
                <w:sz w:val="19"/>
              </w:rPr>
              <w:t>Full control — fields, relationships, UI exactly as designed</w:t>
            </w:r>
          </w:p>
        </w:tc>
        <w:tc>
          <w:tcPr>
            <w:tcW w:type="dxa" w:w="3600"/>
            <w:shd w:val="clear" w:color="auto" w:fill="FFFFFF"/>
          </w:tcPr>
          <w:p>
            <w:pPr>
              <w:spacing w:before="60" w:after="60"/>
              <w:ind w:left="72"/>
            </w:pPr>
            <w:r>
              <w:rPr>
                <w:rFonts w:ascii="Arial" w:hAnsi="Arial"/>
                <w:color w:val="1F1F1F"/>
                <w:sz w:val="19"/>
              </w:rPr>
              <w:t>Constrained by native table structure; workarounds needed for some fields</w:t>
            </w:r>
          </w:p>
        </w:tc>
      </w:tr>
      <w:tr>
        <w:tc>
          <w:tcPr>
            <w:tcW w:type="dxa" w:w="2160"/>
            <w:shd w:val="clear" w:color="auto" w:fill="F2F2F2"/>
          </w:tcPr>
          <w:p>
            <w:pPr>
              <w:spacing w:before="60" w:after="60"/>
              <w:ind w:left="72"/>
            </w:pPr>
            <w:r>
              <w:rPr>
                <w:rFonts w:ascii="Arial" w:hAnsi="Arial"/>
                <w:color w:val="1F1F1F"/>
                <w:sz w:val="19"/>
              </w:rPr>
              <w:t>Development Complexity</w:t>
            </w:r>
          </w:p>
        </w:tc>
        <w:tc>
          <w:tcPr>
            <w:tcW w:type="dxa" w:w="3600"/>
            <w:shd w:val="clear" w:color="auto" w:fill="F2F2F2"/>
          </w:tcPr>
          <w:p>
            <w:pPr>
              <w:spacing w:before="60" w:after="60"/>
              <w:ind w:left="72"/>
            </w:pPr>
            <w:r>
              <w:rPr>
                <w:rFonts w:ascii="Arial" w:hAnsi="Arial"/>
                <w:color w:val="1F1F1F"/>
                <w:sz w:val="19"/>
              </w:rPr>
              <w:t>Higher — full scoped app development, Studio, ATF</w:t>
            </w:r>
          </w:p>
        </w:tc>
        <w:tc>
          <w:tcPr>
            <w:tcW w:type="dxa" w:w="3600"/>
            <w:shd w:val="clear" w:color="auto" w:fill="F2F2F2"/>
          </w:tcPr>
          <w:p>
            <w:pPr>
              <w:spacing w:before="60" w:after="60"/>
              <w:ind w:left="72"/>
            </w:pPr>
            <w:r>
              <w:rPr>
                <w:rFonts w:ascii="Arial" w:hAnsi="Arial"/>
                <w:color w:val="1F1F1F"/>
                <w:sz w:val="19"/>
              </w:rPr>
              <w:t>Lower — mostly configuration, field additions, portal page building</w:t>
            </w:r>
          </w:p>
        </w:tc>
      </w:tr>
      <w:tr>
        <w:tc>
          <w:tcPr>
            <w:tcW w:type="dxa" w:w="2160"/>
            <w:shd w:val="clear" w:color="auto" w:fill="FFFFFF"/>
          </w:tcPr>
          <w:p>
            <w:pPr>
              <w:spacing w:before="60" w:after="60"/>
              <w:ind w:left="72"/>
            </w:pPr>
            <w:r>
              <w:rPr>
                <w:rFonts w:ascii="Arial" w:hAnsi="Arial"/>
                <w:color w:val="1F1F1F"/>
                <w:sz w:val="19"/>
              </w:rPr>
              <w:t>Store Path</w:t>
            </w:r>
          </w:p>
        </w:tc>
        <w:tc>
          <w:tcPr>
            <w:tcW w:type="dxa" w:w="3600"/>
            <w:shd w:val="clear" w:color="auto" w:fill="FFFFFF"/>
          </w:tcPr>
          <w:p>
            <w:pPr>
              <w:spacing w:before="60" w:after="60"/>
              <w:ind w:left="72"/>
            </w:pPr>
            <w:r>
              <w:rPr>
                <w:rFonts w:ascii="Arial" w:hAnsi="Arial"/>
                <w:color w:val="1F1F1F"/>
                <w:sz w:val="19"/>
              </w:rPr>
              <w:t>Clean — scoped apps with custom tables are the Store standard</w:t>
            </w:r>
          </w:p>
        </w:tc>
        <w:tc>
          <w:tcPr>
            <w:tcW w:type="dxa" w:w="3600"/>
            <w:shd w:val="clear" w:color="auto" w:fill="FFFFFF"/>
          </w:tcPr>
          <w:p>
            <w:pPr>
              <w:spacing w:before="60" w:after="60"/>
              <w:ind w:left="72"/>
            </w:pPr>
            <w:r>
              <w:rPr>
                <w:rFonts w:ascii="Arial" w:hAnsi="Arial"/>
                <w:color w:val="1F1F1F"/>
                <w:sz w:val="19"/>
              </w:rPr>
              <w:t>Messier — extensions of native tables create upgrade risk on customer instance</w:t>
            </w:r>
          </w:p>
        </w:tc>
      </w:tr>
      <w:tr>
        <w:tc>
          <w:tcPr>
            <w:tcW w:type="dxa" w:w="2160"/>
            <w:shd w:val="clear" w:color="auto" w:fill="F2F2F2"/>
          </w:tcPr>
          <w:p>
            <w:pPr>
              <w:spacing w:before="60" w:after="60"/>
              <w:ind w:left="72"/>
            </w:pPr>
            <w:r>
              <w:rPr>
                <w:rFonts w:ascii="Arial" w:hAnsi="Arial"/>
                <w:color w:val="1F1F1F"/>
                <w:sz w:val="19"/>
              </w:rPr>
              <w:t>Upgrade Risk</w:t>
            </w:r>
          </w:p>
        </w:tc>
        <w:tc>
          <w:tcPr>
            <w:tcW w:type="dxa" w:w="3600"/>
            <w:shd w:val="clear" w:color="auto" w:fill="F2F2F2"/>
          </w:tcPr>
          <w:p>
            <w:pPr>
              <w:spacing w:before="60" w:after="60"/>
              <w:ind w:left="72"/>
            </w:pPr>
            <w:r>
              <w:rPr>
                <w:rFonts w:ascii="Arial" w:hAnsi="Arial"/>
                <w:color w:val="1F1F1F"/>
                <w:sz w:val="19"/>
              </w:rPr>
              <w:t>Low — scoped app is isolated from platform upgrades</w:t>
            </w:r>
          </w:p>
        </w:tc>
        <w:tc>
          <w:tcPr>
            <w:tcW w:type="dxa" w:w="3600"/>
            <w:shd w:val="clear" w:color="auto" w:fill="F2F2F2"/>
          </w:tcPr>
          <w:p>
            <w:pPr>
              <w:spacing w:before="60" w:after="60"/>
              <w:ind w:left="72"/>
            </w:pPr>
            <w:r>
              <w:rPr>
                <w:rFonts w:ascii="Arial" w:hAnsi="Arial"/>
                <w:color w:val="1F1F1F"/>
                <w:sz w:val="19"/>
              </w:rPr>
              <w:t>Medium — extended fields can be affected by ServiceNow version upgrades</w:t>
            </w:r>
          </w:p>
        </w:tc>
      </w:tr>
      <w:tr>
        <w:tc>
          <w:tcPr>
            <w:tcW w:type="dxa" w:w="2160"/>
            <w:shd w:val="clear" w:color="auto" w:fill="FFFFFF"/>
          </w:tcPr>
          <w:p>
            <w:pPr>
              <w:spacing w:before="60" w:after="60"/>
              <w:ind w:left="72"/>
            </w:pPr>
            <w:r>
              <w:rPr>
                <w:rFonts w:ascii="Arial" w:hAnsi="Arial"/>
                <w:color w:val="1F1F1F"/>
                <w:sz w:val="19"/>
              </w:rPr>
              <w:t>Build Timeline</w:t>
            </w:r>
          </w:p>
        </w:tc>
        <w:tc>
          <w:tcPr>
            <w:tcW w:type="dxa" w:w="3600"/>
            <w:shd w:val="clear" w:color="auto" w:fill="FFFFFF"/>
          </w:tcPr>
          <w:p>
            <w:pPr>
              <w:spacing w:before="60" w:after="60"/>
              <w:ind w:left="72"/>
            </w:pPr>
            <w:r>
              <w:rPr>
                <w:rFonts w:ascii="Arial" w:hAnsi="Arial"/>
                <w:color w:val="1F1F1F"/>
                <w:sz w:val="19"/>
              </w:rPr>
              <w:t>16–18 weeks to v1.0</w:t>
            </w:r>
          </w:p>
        </w:tc>
        <w:tc>
          <w:tcPr>
            <w:tcW w:type="dxa" w:w="3600"/>
            <w:shd w:val="clear" w:color="auto" w:fill="FFFFFF"/>
          </w:tcPr>
          <w:p>
            <w:pPr>
              <w:spacing w:before="60" w:after="60"/>
              <w:ind w:left="72"/>
            </w:pPr>
            <w:r>
              <w:rPr>
                <w:rFonts w:ascii="Arial" w:hAnsi="Arial"/>
                <w:color w:val="1F1F1F"/>
                <w:sz w:val="19"/>
              </w:rPr>
              <w:t>10–12 weeks to equivalent functionality</w:t>
            </w:r>
          </w:p>
        </w:tc>
      </w:tr>
      <w:tr>
        <w:tc>
          <w:tcPr>
            <w:tcW w:type="dxa" w:w="2160"/>
            <w:shd w:val="clear" w:color="auto" w:fill="F2F2F2"/>
          </w:tcPr>
          <w:p>
            <w:pPr>
              <w:spacing w:before="60" w:after="60"/>
              <w:ind w:left="72"/>
            </w:pPr>
            <w:r>
              <w:rPr>
                <w:rFonts w:ascii="Arial" w:hAnsi="Arial"/>
                <w:color w:val="1F1F1F"/>
                <w:sz w:val="19"/>
              </w:rPr>
              <w:t>Long-term Scalability</w:t>
            </w:r>
          </w:p>
        </w:tc>
        <w:tc>
          <w:tcPr>
            <w:tcW w:type="dxa" w:w="3600"/>
            <w:shd w:val="clear" w:color="auto" w:fill="F2F2F2"/>
          </w:tcPr>
          <w:p>
            <w:pPr>
              <w:spacing w:before="60" w:after="60"/>
              <w:ind w:left="72"/>
            </w:pPr>
            <w:r>
              <w:rPr>
                <w:rFonts w:ascii="Arial" w:hAnsi="Arial"/>
                <w:color w:val="1F1F1F"/>
                <w:sz w:val="19"/>
              </w:rPr>
              <w:t>High — designed to grow with engagement portfolio</w:t>
            </w:r>
          </w:p>
        </w:tc>
        <w:tc>
          <w:tcPr>
            <w:tcW w:type="dxa" w:w="3600"/>
            <w:shd w:val="clear" w:color="auto" w:fill="F2F2F2"/>
          </w:tcPr>
          <w:p>
            <w:pPr>
              <w:spacing w:before="60" w:after="60"/>
              <w:ind w:left="72"/>
            </w:pPr>
            <w:r>
              <w:rPr>
                <w:rFonts w:ascii="Arial" w:hAnsi="Arial"/>
                <w:color w:val="1F1F1F"/>
                <w:sz w:val="19"/>
              </w:rPr>
              <w:t>Medium — native table extensions have field limits and governance constraints</w:t>
            </w:r>
          </w:p>
        </w:tc>
      </w:tr>
      <w:tr>
        <w:tc>
          <w:tcPr>
            <w:tcW w:type="dxa" w:w="2160"/>
            <w:shd w:val="clear" w:color="auto" w:fill="FFFFFF"/>
          </w:tcPr>
          <w:p>
            <w:pPr>
              <w:spacing w:before="60" w:after="60"/>
              <w:ind w:left="72"/>
            </w:pPr>
            <w:r>
              <w:rPr>
                <w:rFonts w:ascii="Arial" w:hAnsi="Arial"/>
                <w:color w:val="1F1F1F"/>
                <w:sz w:val="19"/>
              </w:rPr>
              <w:t>Commercial Packaging</w:t>
            </w:r>
          </w:p>
        </w:tc>
        <w:tc>
          <w:tcPr>
            <w:tcW w:type="dxa" w:w="3600"/>
            <w:shd w:val="clear" w:color="auto" w:fill="FFFFFF"/>
          </w:tcPr>
          <w:p>
            <w:pPr>
              <w:spacing w:before="60" w:after="60"/>
              <w:ind w:left="72"/>
            </w:pPr>
            <w:r>
              <w:rPr>
                <w:rFonts w:ascii="Arial" w:hAnsi="Arial"/>
                <w:color w:val="1F1F1F"/>
                <w:sz w:val="19"/>
              </w:rPr>
              <w:t>Clearly packageable as standalone product</w:t>
            </w:r>
          </w:p>
        </w:tc>
        <w:tc>
          <w:tcPr>
            <w:tcW w:type="dxa" w:w="3600"/>
            <w:shd w:val="clear" w:color="auto" w:fill="FFFFFF"/>
          </w:tcPr>
          <w:p>
            <w:pPr>
              <w:spacing w:before="60" w:after="60"/>
              <w:ind w:left="72"/>
            </w:pPr>
            <w:r>
              <w:rPr>
                <w:rFonts w:ascii="Arial" w:hAnsi="Arial"/>
                <w:color w:val="1F1F1F"/>
                <w:sz w:val="19"/>
              </w:rPr>
              <w:t>Harder to package — extensions are embedded in customer's native tables</w:t>
            </w:r>
          </w:p>
        </w:tc>
      </w:tr>
      <w:tr>
        <w:tc>
          <w:tcPr>
            <w:tcW w:type="dxa" w:w="2160"/>
            <w:shd w:val="clear" w:color="auto" w:fill="F2F2F2"/>
          </w:tcPr>
          <w:p>
            <w:pPr>
              <w:spacing w:before="60" w:after="60"/>
              <w:ind w:left="72"/>
            </w:pPr>
            <w:r>
              <w:rPr>
                <w:rFonts w:ascii="Arial" w:hAnsi="Arial"/>
                <w:color w:val="1F1F1F"/>
                <w:sz w:val="19"/>
              </w:rPr>
              <w:t>Best For</w:t>
            </w:r>
          </w:p>
        </w:tc>
        <w:tc>
          <w:tcPr>
            <w:tcW w:type="dxa" w:w="3600"/>
            <w:shd w:val="clear" w:color="auto" w:fill="F2F2F2"/>
          </w:tcPr>
          <w:p>
            <w:pPr>
              <w:spacing w:before="60" w:after="60"/>
              <w:ind w:left="72"/>
            </w:pPr>
            <w:r>
              <w:rPr>
                <w:rFonts w:ascii="Arial" w:hAnsi="Arial"/>
                <w:color w:val="1F1F1F"/>
                <w:sz w:val="19"/>
              </w:rPr>
              <w:t>Strategic product investment; Store listing; multi-customer scale</w:t>
            </w:r>
          </w:p>
        </w:tc>
        <w:tc>
          <w:tcPr>
            <w:tcW w:type="dxa" w:w="3600"/>
            <w:shd w:val="clear" w:color="auto" w:fill="F2F2F2"/>
          </w:tcPr>
          <w:p>
            <w:pPr>
              <w:spacing w:before="60" w:after="60"/>
              <w:ind w:left="72"/>
            </w:pPr>
            <w:r>
              <w:rPr>
                <w:rFonts w:ascii="Arial" w:hAnsi="Arial"/>
                <w:color w:val="1F1F1F"/>
                <w:sz w:val="19"/>
              </w:rPr>
              <w:t>Fast first engagement use; customers without App Engine SKU; lower initial investment</w:t>
            </w:r>
          </w:p>
        </w:tc>
      </w:tr>
    </w:tbl>
    <w:p>
      <w:pPr>
        <w:spacing w:after="120"/>
      </w:pPr>
    </w:p>
    <w:p>
      <w:r>
        <w:br w:type="page"/>
      </w:r>
    </w:p>
    <w:p>
      <w:pPr>
        <w:spacing w:before="360" w:after="120"/>
        <w:pBdr>
          <w:bottom w:val="single" w:sz="6" w:space="1" w:color="1B3A6B"/>
        </w:pBdr>
      </w:pPr>
      <w:r>
        <w:rPr>
          <w:rFonts w:ascii="Arial" w:hAnsi="Arial"/>
          <w:b/>
          <w:color w:val="1B3A6B"/>
          <w:sz w:val="28"/>
        </w:rPr>
        <w:t>12. DECISION POINTS FOR DIRECTOR OF TECHNICAL SERVICES REVIEW</w:t>
      </w:r>
    </w:p>
    <w:p>
      <w:pPr>
        <w:spacing w:before="0" w:after="200"/>
        <w:jc w:val="left"/>
      </w:pPr>
      <w:r>
        <w:rPr>
          <w:rFonts w:ascii="Arial" w:hAnsi="Arial"/>
          <w:b w:val="0"/>
          <w:i w:val="0"/>
          <w:color w:val="1F1F1F"/>
          <w:sz w:val="21"/>
        </w:rPr>
        <w:t>The following decisions should be resolved in the architecture review session before development begins. Each has a recommended default if there is no strong reason to deviate.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1872"/>
            <w:shd w:val="clear" w:color="auto" w:fill="1B3A6B"/>
          </w:tcPr>
          <w:p>
            <w:pPr>
              <w:spacing w:before="80" w:after="80"/>
              <w:ind w:left="72"/>
            </w:pPr>
            <w:r>
              <w:rPr>
                <w:rFonts w:ascii="Arial" w:hAnsi="Arial"/>
                <w:b/>
                <w:color w:val="FFFFFF"/>
                <w:sz w:val="20"/>
              </w:rPr>
              <w:t>Decision</w:t>
            </w:r>
          </w:p>
        </w:tc>
        <w:tc>
          <w:tcPr>
            <w:tcW w:type="dxa" w:w="2160"/>
            <w:shd w:val="clear" w:color="auto" w:fill="1B3A6B"/>
          </w:tcPr>
          <w:p>
            <w:pPr>
              <w:spacing w:before="80" w:after="80"/>
              <w:ind w:left="72"/>
            </w:pPr>
            <w:r>
              <w:rPr>
                <w:rFonts w:ascii="Arial" w:hAnsi="Arial"/>
                <w:b/>
                <w:color w:val="FFFFFF"/>
                <w:sz w:val="20"/>
              </w:rPr>
              <w:t>Options</w:t>
            </w:r>
          </w:p>
        </w:tc>
        <w:tc>
          <w:tcPr>
            <w:tcW w:type="dxa" w:w="2160"/>
            <w:shd w:val="clear" w:color="auto" w:fill="1B3A6B"/>
          </w:tcPr>
          <w:p>
            <w:pPr>
              <w:spacing w:before="80" w:after="80"/>
              <w:ind w:left="72"/>
            </w:pPr>
            <w:r>
              <w:rPr>
                <w:rFonts w:ascii="Arial" w:hAnsi="Arial"/>
                <w:b/>
                <w:color w:val="FFFFFF"/>
                <w:sz w:val="20"/>
              </w:rPr>
              <w:t>Recommended Default</w:t>
            </w:r>
          </w:p>
        </w:tc>
        <w:tc>
          <w:tcPr>
            <w:tcW w:type="dxa" w:w="3168"/>
            <w:shd w:val="clear" w:color="auto" w:fill="1B3A6B"/>
          </w:tcPr>
          <w:p>
            <w:pPr>
              <w:spacing w:before="80" w:after="80"/>
              <w:ind w:left="72"/>
            </w:pPr>
            <w:r>
              <w:rPr>
                <w:rFonts w:ascii="Arial" w:hAnsi="Arial"/>
                <w:b/>
                <w:color w:val="FFFFFF"/>
                <w:sz w:val="20"/>
              </w:rPr>
              <w:t>Implication</w:t>
            </w:r>
          </w:p>
        </w:tc>
      </w:tr>
      <w:tr>
        <w:tc>
          <w:tcPr>
            <w:tcW w:type="dxa" w:w="1872"/>
            <w:shd w:val="clear" w:color="auto" w:fill="F2F2F2"/>
          </w:tcPr>
          <w:p>
            <w:pPr>
              <w:spacing w:before="60" w:after="60"/>
              <w:ind w:left="72"/>
            </w:pPr>
            <w:r>
              <w:rPr>
                <w:rFonts w:ascii="Arial" w:hAnsi="Arial"/>
                <w:color w:val="1F1F1F"/>
                <w:sz w:val="19"/>
              </w:rPr>
              <w:t>App vs. Extends</w:t>
            </w:r>
          </w:p>
        </w:tc>
        <w:tc>
          <w:tcPr>
            <w:tcW w:type="dxa" w:w="2160"/>
            <w:shd w:val="clear" w:color="auto" w:fill="F2F2F2"/>
          </w:tcPr>
          <w:p>
            <w:pPr>
              <w:spacing w:before="60" w:after="60"/>
              <w:ind w:left="72"/>
            </w:pPr>
            <w:r>
              <w:rPr>
                <w:rFonts w:ascii="Arial" w:hAnsi="Arial"/>
                <w:color w:val="1F1F1F"/>
                <w:sz w:val="19"/>
              </w:rPr>
              <w:t>Blueprint A or Blueprint B</w:t>
            </w:r>
          </w:p>
        </w:tc>
        <w:tc>
          <w:tcPr>
            <w:tcW w:type="dxa" w:w="2160"/>
            <w:shd w:val="clear" w:color="auto" w:fill="F2F2F2"/>
          </w:tcPr>
          <w:p>
            <w:pPr>
              <w:spacing w:before="60" w:after="60"/>
              <w:ind w:left="72"/>
            </w:pPr>
            <w:r>
              <w:rPr>
                <w:rFonts w:ascii="Arial" w:hAnsi="Arial"/>
                <w:color w:val="1F1F1F"/>
                <w:sz w:val="19"/>
              </w:rPr>
              <w:t>Blueprint A</w:t>
            </w:r>
          </w:p>
        </w:tc>
        <w:tc>
          <w:tcPr>
            <w:tcW w:type="dxa" w:w="3168"/>
            <w:shd w:val="clear" w:color="auto" w:fill="F2F2F2"/>
          </w:tcPr>
          <w:p>
            <w:pPr>
              <w:spacing w:before="60" w:after="60"/>
              <w:ind w:left="72"/>
            </w:pPr>
            <w:r>
              <w:rPr>
                <w:rFonts w:ascii="Arial" w:hAnsi="Arial"/>
                <w:color w:val="1F1F1F"/>
                <w:sz w:val="19"/>
              </w:rPr>
              <w:t>Higher investment, stronger long-term product; review against timeline and resource constraints</w:t>
            </w:r>
          </w:p>
        </w:tc>
      </w:tr>
      <w:tr>
        <w:tc>
          <w:tcPr>
            <w:tcW w:type="dxa" w:w="1872"/>
            <w:shd w:val="clear" w:color="auto" w:fill="FFFFFF"/>
          </w:tcPr>
          <w:p>
            <w:pPr>
              <w:spacing w:before="60" w:after="60"/>
              <w:ind w:left="72"/>
            </w:pPr>
            <w:r>
              <w:rPr>
                <w:rFonts w:ascii="Arial" w:hAnsi="Arial"/>
                <w:color w:val="1F1F1F"/>
                <w:sz w:val="19"/>
              </w:rPr>
              <w:t>Store vs. Update Set</w:t>
            </w:r>
          </w:p>
        </w:tc>
        <w:tc>
          <w:tcPr>
            <w:tcW w:type="dxa" w:w="2160"/>
            <w:shd w:val="clear" w:color="auto" w:fill="FFFFFF"/>
          </w:tcPr>
          <w:p>
            <w:pPr>
              <w:spacing w:before="60" w:after="60"/>
              <w:ind w:left="72"/>
            </w:pPr>
            <w:r>
              <w:rPr>
                <w:rFonts w:ascii="Arial" w:hAnsi="Arial"/>
                <w:color w:val="1F1F1F"/>
                <w:sz w:val="19"/>
              </w:rPr>
              <w:t>ServiceNow Store ISV or update set</w:t>
            </w:r>
          </w:p>
        </w:tc>
        <w:tc>
          <w:tcPr>
            <w:tcW w:type="dxa" w:w="2160"/>
            <w:shd w:val="clear" w:color="auto" w:fill="FFFFFF"/>
          </w:tcPr>
          <w:p>
            <w:pPr>
              <w:spacing w:before="60" w:after="60"/>
              <w:ind w:left="72"/>
            </w:pPr>
            <w:r>
              <w:rPr>
                <w:rFonts w:ascii="Arial" w:hAnsi="Arial"/>
                <w:color w:val="1F1F1F"/>
                <w:sz w:val="19"/>
              </w:rPr>
              <w:t>Update Set first, Store by Q4 2026</w:t>
            </w:r>
          </w:p>
        </w:tc>
        <w:tc>
          <w:tcPr>
            <w:tcW w:type="dxa" w:w="3168"/>
            <w:shd w:val="clear" w:color="auto" w:fill="FFFFFF"/>
          </w:tcPr>
          <w:p>
            <w:pPr>
              <w:spacing w:before="60" w:after="60"/>
              <w:ind w:left="72"/>
            </w:pPr>
            <w:r>
              <w:rPr>
                <w:rFonts w:ascii="Arial" w:hAnsi="Arial"/>
                <w:color w:val="1F1F1F"/>
                <w:sz w:val="19"/>
              </w:rPr>
              <w:t>Update set allows immediate use; Store runs in parallel</w:t>
            </w:r>
          </w:p>
        </w:tc>
      </w:tr>
      <w:tr>
        <w:tc>
          <w:tcPr>
            <w:tcW w:type="dxa" w:w="1872"/>
            <w:shd w:val="clear" w:color="auto" w:fill="F2F2F2"/>
          </w:tcPr>
          <w:p>
            <w:pPr>
              <w:spacing w:before="60" w:after="60"/>
              <w:ind w:left="72"/>
            </w:pPr>
            <w:r>
              <w:rPr>
                <w:rFonts w:ascii="Arial" w:hAnsi="Arial"/>
                <w:color w:val="1F1F1F"/>
                <w:sz w:val="19"/>
              </w:rPr>
              <w:t>PA Required?</w:t>
            </w:r>
          </w:p>
        </w:tc>
        <w:tc>
          <w:tcPr>
            <w:tcW w:type="dxa" w:w="2160"/>
            <w:shd w:val="clear" w:color="auto" w:fill="F2F2F2"/>
          </w:tcPr>
          <w:p>
            <w:pPr>
              <w:spacing w:before="60" w:after="60"/>
              <w:ind w:left="72"/>
            </w:pPr>
            <w:r>
              <w:rPr>
                <w:rFonts w:ascii="Arial" w:hAnsi="Arial"/>
                <w:color w:val="1F1F1F"/>
                <w:sz w:val="19"/>
              </w:rPr>
              <w:t>Full PA or native reporting fallback</w:t>
            </w:r>
          </w:p>
        </w:tc>
        <w:tc>
          <w:tcPr>
            <w:tcW w:type="dxa" w:w="2160"/>
            <w:shd w:val="clear" w:color="auto" w:fill="F2F2F2"/>
          </w:tcPr>
          <w:p>
            <w:pPr>
              <w:spacing w:before="60" w:after="60"/>
              <w:ind w:left="72"/>
            </w:pPr>
            <w:r>
              <w:rPr>
                <w:rFonts w:ascii="Arial" w:hAnsi="Arial"/>
                <w:color w:val="1F1F1F"/>
                <w:sz w:val="19"/>
              </w:rPr>
              <w:t>Native reporting fallback as default; PA as premium</w:t>
            </w:r>
          </w:p>
        </w:tc>
        <w:tc>
          <w:tcPr>
            <w:tcW w:type="dxa" w:w="3168"/>
            <w:shd w:val="clear" w:color="auto" w:fill="F2F2F2"/>
          </w:tcPr>
          <w:p>
            <w:pPr>
              <w:spacing w:before="60" w:after="60"/>
              <w:ind w:left="72"/>
            </w:pPr>
            <w:r>
              <w:rPr>
                <w:rFonts w:ascii="Arial" w:hAnsi="Arial"/>
                <w:color w:val="1F1F1F"/>
                <w:sz w:val="19"/>
              </w:rPr>
              <w:t>Ensures app works on all customer instances regardless of PA SKU</w:t>
            </w:r>
          </w:p>
        </w:tc>
      </w:tr>
      <w:tr>
        <w:tc>
          <w:tcPr>
            <w:tcW w:type="dxa" w:w="1872"/>
            <w:shd w:val="clear" w:color="auto" w:fill="FFFFFF"/>
          </w:tcPr>
          <w:p>
            <w:pPr>
              <w:spacing w:before="60" w:after="60"/>
              <w:ind w:left="72"/>
            </w:pPr>
            <w:r>
              <w:rPr>
                <w:rFonts w:ascii="Arial" w:hAnsi="Arial"/>
                <w:color w:val="1F1F1F"/>
                <w:sz w:val="19"/>
              </w:rPr>
              <w:t>Write vs. Read-Only on Agile</w:t>
            </w:r>
          </w:p>
        </w:tc>
        <w:tc>
          <w:tcPr>
            <w:tcW w:type="dxa" w:w="2160"/>
            <w:shd w:val="clear" w:color="auto" w:fill="FFFFFF"/>
          </w:tcPr>
          <w:p>
            <w:pPr>
              <w:spacing w:before="60" w:after="60"/>
              <w:ind w:left="72"/>
            </w:pPr>
            <w:r>
              <w:rPr>
                <w:rFonts w:ascii="Arial" w:hAnsi="Arial"/>
                <w:color w:val="1F1F1F"/>
                <w:sz w:val="19"/>
              </w:rPr>
              <w:t>Create stories from app, or read only</w:t>
            </w:r>
          </w:p>
        </w:tc>
        <w:tc>
          <w:tcPr>
            <w:tcW w:type="dxa" w:w="2160"/>
            <w:shd w:val="clear" w:color="auto" w:fill="FFFFFF"/>
          </w:tcPr>
          <w:p>
            <w:pPr>
              <w:spacing w:before="60" w:after="60"/>
              <w:ind w:left="72"/>
            </w:pPr>
            <w:r>
              <w:rPr>
                <w:rFonts w:ascii="Arial" w:hAnsi="Arial"/>
                <w:color w:val="1F1F1F"/>
                <w:sz w:val="19"/>
              </w:rPr>
              <w:t>Read-only initially</w:t>
            </w:r>
          </w:p>
        </w:tc>
        <w:tc>
          <w:tcPr>
            <w:tcW w:type="dxa" w:w="3168"/>
            <w:shd w:val="clear" w:color="auto" w:fill="FFFFFF"/>
          </w:tcPr>
          <w:p>
            <w:pPr>
              <w:spacing w:before="60" w:after="60"/>
              <w:ind w:left="72"/>
            </w:pPr>
            <w:r>
              <w:rPr>
                <w:rFonts w:ascii="Arial" w:hAnsi="Arial"/>
                <w:color w:val="1F1F1F"/>
                <w:sz w:val="19"/>
              </w:rPr>
              <w:t>Write access to Agile increases complexity; defer to Phase 3 if at all</w:t>
            </w:r>
          </w:p>
        </w:tc>
      </w:tr>
      <w:tr>
        <w:tc>
          <w:tcPr>
            <w:tcW w:type="dxa" w:w="1872"/>
            <w:shd w:val="clear" w:color="auto" w:fill="F2F2F2"/>
          </w:tcPr>
          <w:p>
            <w:pPr>
              <w:spacing w:before="60" w:after="60"/>
              <w:ind w:left="72"/>
            </w:pPr>
            <w:r>
              <w:rPr>
                <w:rFonts w:ascii="Arial" w:hAnsi="Arial"/>
                <w:color w:val="1F1F1F"/>
                <w:sz w:val="19"/>
              </w:rPr>
              <w:t>Content Hosting</w:t>
            </w:r>
          </w:p>
        </w:tc>
        <w:tc>
          <w:tcPr>
            <w:tcW w:type="dxa" w:w="2160"/>
            <w:shd w:val="clear" w:color="auto" w:fill="F2F2F2"/>
          </w:tcPr>
          <w:p>
            <w:pPr>
              <w:spacing w:before="60" w:after="60"/>
              <w:ind w:left="72"/>
            </w:pPr>
            <w:r>
              <w:rPr>
                <w:rFonts w:ascii="Arial" w:hAnsi="Arial"/>
                <w:color w:val="1F1F1F"/>
                <w:sz w:val="19"/>
              </w:rPr>
              <w:t>App's own Content table or reference existing KB</w:t>
            </w:r>
          </w:p>
        </w:tc>
        <w:tc>
          <w:tcPr>
            <w:tcW w:type="dxa" w:w="2160"/>
            <w:shd w:val="clear" w:color="auto" w:fill="F2F2F2"/>
          </w:tcPr>
          <w:p>
            <w:pPr>
              <w:spacing w:before="60" w:after="60"/>
              <w:ind w:left="72"/>
            </w:pPr>
            <w:r>
              <w:rPr>
                <w:rFonts w:ascii="Arial" w:hAnsi="Arial"/>
                <w:color w:val="1F1F1F"/>
                <w:sz w:val="19"/>
              </w:rPr>
              <w:t>Own Content table</w:t>
            </w:r>
          </w:p>
        </w:tc>
        <w:tc>
          <w:tcPr>
            <w:tcW w:type="dxa" w:w="3168"/>
            <w:shd w:val="clear" w:color="auto" w:fill="F2F2F2"/>
          </w:tcPr>
          <w:p>
            <w:pPr>
              <w:spacing w:before="60" w:after="60"/>
              <w:ind w:left="72"/>
            </w:pPr>
            <w:r>
              <w:rPr>
                <w:rFonts w:ascii="Arial" w:hAnsi="Arial"/>
                <w:color w:val="1F1F1F"/>
                <w:sz w:val="19"/>
              </w:rPr>
              <w:t>Own table gives full control; KB reference reduces duplication but depends on KB being set up</w:t>
            </w:r>
          </w:p>
        </w:tc>
      </w:tr>
      <w:tr>
        <w:tc>
          <w:tcPr>
            <w:tcW w:type="dxa" w:w="1872"/>
            <w:shd w:val="clear" w:color="auto" w:fill="FFFFFF"/>
          </w:tcPr>
          <w:p>
            <w:pPr>
              <w:spacing w:before="60" w:after="60"/>
              <w:ind w:left="72"/>
            </w:pPr>
            <w:r>
              <w:rPr>
                <w:rFonts w:ascii="Arial" w:hAnsi="Arial"/>
                <w:color w:val="1F1F1F"/>
                <w:sz w:val="19"/>
              </w:rPr>
              <w:t>Multi-Engagement Support</w:t>
            </w:r>
          </w:p>
        </w:tc>
        <w:tc>
          <w:tcPr>
            <w:tcW w:type="dxa" w:w="2160"/>
            <w:shd w:val="clear" w:color="auto" w:fill="FFFFFF"/>
          </w:tcPr>
          <w:p>
            <w:pPr>
              <w:spacing w:before="60" w:after="60"/>
              <w:ind w:left="72"/>
            </w:pPr>
            <w:r>
              <w:rPr>
                <w:rFonts w:ascii="Arial" w:hAnsi="Arial"/>
                <w:color w:val="1F1F1F"/>
                <w:sz w:val="19"/>
              </w:rPr>
              <w:t>One instance per engagement or shared Everforth instance</w:t>
            </w:r>
          </w:p>
        </w:tc>
        <w:tc>
          <w:tcPr>
            <w:tcW w:type="dxa" w:w="2160"/>
            <w:shd w:val="clear" w:color="auto" w:fill="FFFFFF"/>
          </w:tcPr>
          <w:p>
            <w:pPr>
              <w:spacing w:before="60" w:after="60"/>
              <w:ind w:left="72"/>
            </w:pPr>
            <w:r>
              <w:rPr>
                <w:rFonts w:ascii="Arial" w:hAnsi="Arial"/>
                <w:color w:val="1F1F1F"/>
                <w:sz w:val="19"/>
              </w:rPr>
              <w:t>Customer instance per engagement</w:t>
            </w:r>
          </w:p>
        </w:tc>
        <w:tc>
          <w:tcPr>
            <w:tcW w:type="dxa" w:w="3168"/>
            <w:shd w:val="clear" w:color="auto" w:fill="FFFFFF"/>
          </w:tcPr>
          <w:p>
            <w:pPr>
              <w:spacing w:before="60" w:after="60"/>
              <w:ind w:left="72"/>
            </w:pPr>
            <w:r>
              <w:rPr>
                <w:rFonts w:ascii="Arial" w:hAnsi="Arial"/>
                <w:color w:val="1F1F1F"/>
                <w:sz w:val="19"/>
              </w:rPr>
              <w:t>Avoids multi-tenancy and licensing complexity</w:t>
            </w:r>
          </w:p>
        </w:tc>
      </w:tr>
    </w:tbl>
    <w:p>
      <w:pPr>
        <w:spacing w:after="120"/>
      </w:pPr>
    </w:p>
    <w:p>
      <w:pPr>
        <w:spacing w:before="0" w:after="120"/>
        <w:jc w:val="left"/>
      </w:pPr>
      <w:r>
        <w:rPr>
          <w:rFonts w:ascii="Arial" w:hAnsi="Arial"/>
          <w:b w:val="0"/>
          <w:i w:val="0"/>
          <w:color w:val="1F1F1F"/>
          <w:sz w:val="20"/>
        </w:rPr>
        <w:br/>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EBF3FB"/>
          </w:tcPr>
          <w:p>
            <w:pPr>
              <w:spacing w:before="120" w:after="40"/>
              <w:ind w:left="144"/>
            </w:pPr>
            <w:r>
              <w:rPr>
                <w:rFonts w:ascii="Arial" w:hAnsi="Arial"/>
                <w:b/>
                <w:color w:val="1B3A6B"/>
                <w:sz w:val="20"/>
              </w:rPr>
              <w:t xml:space="preserve">Recommended outcome of review:  </w:t>
            </w:r>
            <w:r>
              <w:rPr>
                <w:rFonts w:ascii="Arial" w:hAnsi="Arial"/>
                <w:color w:val="1F1F1F"/>
                <w:sz w:val="20"/>
              </w:rPr>
              <w:t>Confirm Blueprint A or B. If A — assign a lead developer and begin Phase 1 scope. If B — begin table extension mapping against a PDI within two weeks. Either way, methodology content loading (populating the Content table from existing collateral) should start in parallel immediately — it is path-independent.</w:t>
            </w:r>
          </w:p>
          <w:p>
            <w:pPr>
              <w:spacing w:after="120"/>
            </w:pPr>
          </w:p>
        </w:tc>
      </w:tr>
    </w:tbl>
    <w:p>
      <w:pPr>
        <w:spacing w:after="80"/>
      </w:pPr>
    </w:p>
    <w:p>
      <w:r>
        <w:br w:type="page"/>
      </w:r>
    </w:p>
    <w:p>
      <w:pPr>
        <w:spacing w:before="360" w:after="120"/>
        <w:pBdr>
          <w:bottom w:val="single" w:sz="6" w:space="1" w:color="1B3A6B"/>
        </w:pBdr>
      </w:pPr>
      <w:r>
        <w:rPr>
          <w:rFonts w:ascii="Arial" w:hAnsi="Arial"/>
          <w:b/>
          <w:color w:val="1B3A6B"/>
          <w:sz w:val="28"/>
        </w:rPr>
        <w:t>13. NEXT STEPS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4464"/>
            <w:shd w:val="clear" w:color="auto" w:fill="1B3A6B"/>
          </w:tcPr>
          <w:p>
            <w:pPr>
              <w:spacing w:before="80" w:after="80"/>
              <w:ind w:left="72"/>
            </w:pPr>
            <w:r>
              <w:rPr>
                <w:rFonts w:ascii="Arial" w:hAnsi="Arial"/>
                <w:b/>
                <w:color w:val="FFFFFF"/>
                <w:sz w:val="20"/>
              </w:rPr>
              <w:t>Action</w:t>
            </w:r>
          </w:p>
        </w:tc>
        <w:tc>
          <w:tcPr>
            <w:tcW w:type="dxa" w:w="2592"/>
            <w:shd w:val="clear" w:color="auto" w:fill="1B3A6B"/>
          </w:tcPr>
          <w:p>
            <w:pPr>
              <w:spacing w:before="80" w:after="80"/>
              <w:ind w:left="72"/>
            </w:pPr>
            <w:r>
              <w:rPr>
                <w:rFonts w:ascii="Arial" w:hAnsi="Arial"/>
                <w:b/>
                <w:color w:val="FFFFFF"/>
                <w:sz w:val="20"/>
              </w:rPr>
              <w:t>Owner</w:t>
            </w:r>
          </w:p>
        </w:tc>
        <w:tc>
          <w:tcPr>
            <w:tcW w:type="dxa" w:w="2304"/>
            <w:shd w:val="clear" w:color="auto" w:fill="1B3A6B"/>
          </w:tcPr>
          <w:p>
            <w:pPr>
              <w:spacing w:before="80" w:after="80"/>
              <w:ind w:left="72"/>
            </w:pPr>
            <w:r>
              <w:rPr>
                <w:rFonts w:ascii="Arial" w:hAnsi="Arial"/>
                <w:b/>
                <w:color w:val="FFFFFF"/>
                <w:sz w:val="20"/>
              </w:rPr>
              <w:t>Timeline</w:t>
            </w:r>
          </w:p>
        </w:tc>
      </w:tr>
      <w:tr>
        <w:tc>
          <w:tcPr>
            <w:tcW w:type="dxa" w:w="4464"/>
            <w:shd w:val="clear" w:color="auto" w:fill="F2F2F2"/>
          </w:tcPr>
          <w:p>
            <w:pPr>
              <w:spacing w:before="60" w:after="60"/>
              <w:ind w:left="72"/>
            </w:pPr>
            <w:r>
              <w:rPr>
                <w:rFonts w:ascii="Arial" w:hAnsi="Arial"/>
                <w:color w:val="1F1F1F"/>
                <w:sz w:val="19"/>
              </w:rPr>
              <w:t>Review Blueprint A and Blueprint B with Director of Technical Services</w:t>
            </w:r>
          </w:p>
        </w:tc>
        <w:tc>
          <w:tcPr>
            <w:tcW w:type="dxa" w:w="2592"/>
            <w:shd w:val="clear" w:color="auto" w:fill="F2F2F2"/>
          </w:tcPr>
          <w:p>
            <w:pPr>
              <w:spacing w:before="60" w:after="60"/>
              <w:ind w:left="72"/>
            </w:pPr>
            <w:r>
              <w:rPr>
                <w:rFonts w:ascii="Arial" w:hAnsi="Arial"/>
                <w:color w:val="1F1F1F"/>
                <w:sz w:val="19"/>
              </w:rPr>
              <w:t>Senior Director + Shawn</w:t>
            </w:r>
          </w:p>
        </w:tc>
        <w:tc>
          <w:tcPr>
            <w:tcW w:type="dxa" w:w="2304"/>
            <w:shd w:val="clear" w:color="auto" w:fill="F2F2F2"/>
          </w:tcPr>
          <w:p>
            <w:pPr>
              <w:spacing w:before="60" w:after="60"/>
              <w:ind w:left="72"/>
            </w:pPr>
            <w:r>
              <w:rPr>
                <w:rFonts w:ascii="Arial" w:hAnsi="Arial"/>
                <w:color w:val="1F1F1F"/>
                <w:sz w:val="19"/>
              </w:rPr>
              <w:t>This week</w:t>
            </w:r>
          </w:p>
        </w:tc>
      </w:tr>
      <w:tr>
        <w:tc>
          <w:tcPr>
            <w:tcW w:type="dxa" w:w="4464"/>
            <w:shd w:val="clear" w:color="auto" w:fill="FFFFFF"/>
          </w:tcPr>
          <w:p>
            <w:pPr>
              <w:spacing w:before="60" w:after="60"/>
              <w:ind w:left="72"/>
            </w:pPr>
            <w:r>
              <w:rPr>
                <w:rFonts w:ascii="Arial" w:hAnsi="Arial"/>
                <w:color w:val="1F1F1F"/>
                <w:sz w:val="19"/>
              </w:rPr>
              <w:t>Decision: Custom App vs. Table Extends approach</w:t>
            </w:r>
          </w:p>
        </w:tc>
        <w:tc>
          <w:tcPr>
            <w:tcW w:type="dxa" w:w="2592"/>
            <w:shd w:val="clear" w:color="auto" w:fill="FFFFFF"/>
          </w:tcPr>
          <w:p>
            <w:pPr>
              <w:spacing w:before="60" w:after="60"/>
              <w:ind w:left="72"/>
            </w:pPr>
            <w:r>
              <w:rPr>
                <w:rFonts w:ascii="Arial" w:hAnsi="Arial"/>
                <w:color w:val="1F1F1F"/>
                <w:sz w:val="19"/>
              </w:rPr>
              <w:t>Senior Director + Shawn</w:t>
            </w:r>
          </w:p>
        </w:tc>
        <w:tc>
          <w:tcPr>
            <w:tcW w:type="dxa" w:w="2304"/>
            <w:shd w:val="clear" w:color="auto" w:fill="FFFFFF"/>
          </w:tcPr>
          <w:p>
            <w:pPr>
              <w:spacing w:before="60" w:after="60"/>
              <w:ind w:left="72"/>
            </w:pPr>
            <w:r>
              <w:rPr>
                <w:rFonts w:ascii="Arial" w:hAnsi="Arial"/>
                <w:color w:val="1F1F1F"/>
                <w:sz w:val="19"/>
              </w:rPr>
              <w:t>End of review session</w:t>
            </w:r>
          </w:p>
        </w:tc>
      </w:tr>
      <w:tr>
        <w:tc>
          <w:tcPr>
            <w:tcW w:type="dxa" w:w="4464"/>
            <w:shd w:val="clear" w:color="auto" w:fill="F2F2F2"/>
          </w:tcPr>
          <w:p>
            <w:pPr>
              <w:spacing w:before="60" w:after="60"/>
              <w:ind w:left="72"/>
            </w:pPr>
            <w:r>
              <w:rPr>
                <w:rFonts w:ascii="Arial" w:hAnsi="Arial"/>
                <w:color w:val="1F1F1F"/>
                <w:sz w:val="19"/>
              </w:rPr>
              <w:t>Decision: ServiceNow Store ISV enrollment — initiate or defer</w:t>
            </w:r>
          </w:p>
        </w:tc>
        <w:tc>
          <w:tcPr>
            <w:tcW w:type="dxa" w:w="2592"/>
            <w:shd w:val="clear" w:color="auto" w:fill="F2F2F2"/>
          </w:tcPr>
          <w:p>
            <w:pPr>
              <w:spacing w:before="60" w:after="60"/>
              <w:ind w:left="72"/>
            </w:pPr>
            <w:r>
              <w:rPr>
                <w:rFonts w:ascii="Arial" w:hAnsi="Arial"/>
                <w:color w:val="1F1F1F"/>
                <w:sz w:val="19"/>
              </w:rPr>
              <w:t>Senior Director + Practice Mgr</w:t>
            </w:r>
          </w:p>
        </w:tc>
        <w:tc>
          <w:tcPr>
            <w:tcW w:type="dxa" w:w="2304"/>
            <w:shd w:val="clear" w:color="auto" w:fill="F2F2F2"/>
          </w:tcPr>
          <w:p>
            <w:pPr>
              <w:spacing w:before="60" w:after="60"/>
              <w:ind w:left="72"/>
            </w:pPr>
            <w:r>
              <w:rPr>
                <w:rFonts w:ascii="Arial" w:hAnsi="Arial"/>
                <w:color w:val="1F1F1F"/>
                <w:sz w:val="19"/>
              </w:rPr>
              <w:t>2 weeks post-decision</w:t>
            </w:r>
          </w:p>
        </w:tc>
      </w:tr>
      <w:tr>
        <w:tc>
          <w:tcPr>
            <w:tcW w:type="dxa" w:w="4464"/>
            <w:shd w:val="clear" w:color="auto" w:fill="FFFFFF"/>
          </w:tcPr>
          <w:p>
            <w:pPr>
              <w:spacing w:before="60" w:after="60"/>
              <w:ind w:left="72"/>
            </w:pPr>
            <w:r>
              <w:rPr>
                <w:rFonts w:ascii="Arial" w:hAnsi="Arial"/>
                <w:color w:val="1F1F1F"/>
                <w:sz w:val="19"/>
              </w:rPr>
              <w:t>Assign lead developer / architect for Phase 1</w:t>
            </w:r>
          </w:p>
        </w:tc>
        <w:tc>
          <w:tcPr>
            <w:tcW w:type="dxa" w:w="2592"/>
            <w:shd w:val="clear" w:color="auto" w:fill="FFFFFF"/>
          </w:tcPr>
          <w:p>
            <w:pPr>
              <w:spacing w:before="60" w:after="60"/>
              <w:ind w:left="72"/>
            </w:pPr>
            <w:r>
              <w:rPr>
                <w:rFonts w:ascii="Arial" w:hAnsi="Arial"/>
                <w:color w:val="1F1F1F"/>
                <w:sz w:val="19"/>
              </w:rPr>
              <w:t>Senior Director</w:t>
            </w:r>
          </w:p>
        </w:tc>
        <w:tc>
          <w:tcPr>
            <w:tcW w:type="dxa" w:w="2304"/>
            <w:shd w:val="clear" w:color="auto" w:fill="FFFFFF"/>
          </w:tcPr>
          <w:p>
            <w:pPr>
              <w:spacing w:before="60" w:after="60"/>
              <w:ind w:left="72"/>
            </w:pPr>
            <w:r>
              <w:rPr>
                <w:rFonts w:ascii="Arial" w:hAnsi="Arial"/>
                <w:color w:val="1F1F1F"/>
                <w:sz w:val="19"/>
              </w:rPr>
              <w:t>1 week post-decision</w:t>
            </w:r>
          </w:p>
        </w:tc>
      </w:tr>
      <w:tr>
        <w:tc>
          <w:tcPr>
            <w:tcW w:type="dxa" w:w="4464"/>
            <w:shd w:val="clear" w:color="auto" w:fill="F2F2F2"/>
          </w:tcPr>
          <w:p>
            <w:pPr>
              <w:spacing w:before="60" w:after="60"/>
              <w:ind w:left="72"/>
            </w:pPr>
            <w:r>
              <w:rPr>
                <w:rFonts w:ascii="Arial" w:hAnsi="Arial"/>
                <w:color w:val="1F1F1F"/>
                <w:sz w:val="19"/>
              </w:rPr>
              <w:t>Provision PDI (Personal Developer Instance) for development</w:t>
            </w:r>
          </w:p>
        </w:tc>
        <w:tc>
          <w:tcPr>
            <w:tcW w:type="dxa" w:w="2592"/>
            <w:shd w:val="clear" w:color="auto" w:fill="F2F2F2"/>
          </w:tcPr>
          <w:p>
            <w:pPr>
              <w:spacing w:before="60" w:after="60"/>
              <w:ind w:left="72"/>
            </w:pPr>
            <w:r>
              <w:rPr>
                <w:rFonts w:ascii="Arial" w:hAnsi="Arial"/>
                <w:color w:val="1F1F1F"/>
                <w:sz w:val="19"/>
              </w:rPr>
              <w:t>Shawn / Architecture team</w:t>
            </w:r>
          </w:p>
        </w:tc>
        <w:tc>
          <w:tcPr>
            <w:tcW w:type="dxa" w:w="2304"/>
            <w:shd w:val="clear" w:color="auto" w:fill="F2F2F2"/>
          </w:tcPr>
          <w:p>
            <w:pPr>
              <w:spacing w:before="60" w:after="60"/>
              <w:ind w:left="72"/>
            </w:pPr>
            <w:r>
              <w:rPr>
                <w:rFonts w:ascii="Arial" w:hAnsi="Arial"/>
                <w:color w:val="1F1F1F"/>
                <w:sz w:val="19"/>
              </w:rPr>
              <w:t>1 week post-decision</w:t>
            </w:r>
          </w:p>
        </w:tc>
      </w:tr>
      <w:tr>
        <w:tc>
          <w:tcPr>
            <w:tcW w:type="dxa" w:w="4464"/>
            <w:shd w:val="clear" w:color="auto" w:fill="FFFFFF"/>
          </w:tcPr>
          <w:p>
            <w:pPr>
              <w:spacing w:before="60" w:after="60"/>
              <w:ind w:left="72"/>
            </w:pPr>
            <w:r>
              <w:rPr>
                <w:rFonts w:ascii="Arial" w:hAnsi="Arial"/>
                <w:color w:val="1F1F1F"/>
                <w:sz w:val="19"/>
              </w:rPr>
              <w:t>Begin Phase 1 — App scope, tables, role definitions</w:t>
            </w:r>
          </w:p>
        </w:tc>
        <w:tc>
          <w:tcPr>
            <w:tcW w:type="dxa" w:w="2592"/>
            <w:shd w:val="clear" w:color="auto" w:fill="FFFFFF"/>
          </w:tcPr>
          <w:p>
            <w:pPr>
              <w:spacing w:before="60" w:after="60"/>
              <w:ind w:left="72"/>
            </w:pPr>
            <w:r>
              <w:rPr>
                <w:rFonts w:ascii="Arial" w:hAnsi="Arial"/>
                <w:color w:val="1F1F1F"/>
                <w:sz w:val="19"/>
              </w:rPr>
              <w:t>Lead Developer</w:t>
            </w:r>
          </w:p>
        </w:tc>
        <w:tc>
          <w:tcPr>
            <w:tcW w:type="dxa" w:w="2304"/>
            <w:shd w:val="clear" w:color="auto" w:fill="FFFFFF"/>
          </w:tcPr>
          <w:p>
            <w:pPr>
              <w:spacing w:before="60" w:after="60"/>
              <w:ind w:left="72"/>
            </w:pPr>
            <w:r>
              <w:rPr>
                <w:rFonts w:ascii="Arial" w:hAnsi="Arial"/>
                <w:color w:val="1F1F1F"/>
                <w:sz w:val="19"/>
              </w:rPr>
              <w:t>Week following PDI provisioning</w:t>
            </w:r>
          </w:p>
        </w:tc>
      </w:tr>
      <w:tr>
        <w:tc>
          <w:tcPr>
            <w:tcW w:type="dxa" w:w="4464"/>
            <w:shd w:val="clear" w:color="auto" w:fill="F2F2F2"/>
          </w:tcPr>
          <w:p>
            <w:pPr>
              <w:spacing w:before="60" w:after="60"/>
              <w:ind w:left="72"/>
            </w:pPr>
            <w:r>
              <w:rPr>
                <w:rFonts w:ascii="Arial" w:hAnsi="Arial"/>
                <w:color w:val="1F1F1F"/>
                <w:sz w:val="19"/>
              </w:rPr>
              <w:t>Begin methodology content loading in parallel (path-independent)</w:t>
            </w:r>
          </w:p>
        </w:tc>
        <w:tc>
          <w:tcPr>
            <w:tcW w:type="dxa" w:w="2592"/>
            <w:shd w:val="clear" w:color="auto" w:fill="F2F2F2"/>
          </w:tcPr>
          <w:p>
            <w:pPr>
              <w:spacing w:before="60" w:after="60"/>
              <w:ind w:left="72"/>
            </w:pPr>
            <w:r>
              <w:rPr>
                <w:rFonts w:ascii="Arial" w:hAnsi="Arial"/>
                <w:color w:val="1F1F1F"/>
                <w:sz w:val="19"/>
              </w:rPr>
              <w:t>Delivery Manager / Practice</w:t>
            </w:r>
          </w:p>
        </w:tc>
        <w:tc>
          <w:tcPr>
            <w:tcW w:type="dxa" w:w="2304"/>
            <w:shd w:val="clear" w:color="auto" w:fill="F2F2F2"/>
          </w:tcPr>
          <w:p>
            <w:pPr>
              <w:spacing w:before="60" w:after="60"/>
              <w:ind w:left="72"/>
            </w:pPr>
            <w:r>
              <w:rPr>
                <w:rFonts w:ascii="Arial" w:hAnsi="Arial"/>
                <w:color w:val="1F1F1F"/>
                <w:sz w:val="19"/>
              </w:rPr>
              <w:t>Start immediately — does not require app decision</w:t>
            </w:r>
          </w:p>
        </w:tc>
      </w:tr>
      <w:tr>
        <w:tc>
          <w:tcPr>
            <w:tcW w:type="dxa" w:w="4464"/>
            <w:shd w:val="clear" w:color="auto" w:fill="FFFFFF"/>
          </w:tcPr>
          <w:p>
            <w:pPr>
              <w:spacing w:before="60" w:after="60"/>
              <w:ind w:left="72"/>
            </w:pPr>
            <w:r>
              <w:rPr>
                <w:rFonts w:ascii="Arial" w:hAnsi="Arial"/>
                <w:color w:val="1F1F1F"/>
                <w:sz w:val="19"/>
              </w:rPr>
              <w:t>Draft go-to-market one-pager for sales team</w:t>
            </w:r>
          </w:p>
        </w:tc>
        <w:tc>
          <w:tcPr>
            <w:tcW w:type="dxa" w:w="2592"/>
            <w:shd w:val="clear" w:color="auto" w:fill="FFFFFF"/>
          </w:tcPr>
          <w:p>
            <w:pPr>
              <w:spacing w:before="60" w:after="60"/>
              <w:ind w:left="72"/>
            </w:pPr>
            <w:r>
              <w:rPr>
                <w:rFonts w:ascii="Arial" w:hAnsi="Arial"/>
                <w:color w:val="1F1F1F"/>
                <w:sz w:val="19"/>
              </w:rPr>
              <w:t>Senior Director</w:t>
            </w:r>
          </w:p>
        </w:tc>
        <w:tc>
          <w:tcPr>
            <w:tcW w:type="dxa" w:w="2304"/>
            <w:shd w:val="clear" w:color="auto" w:fill="FFFFFF"/>
          </w:tcPr>
          <w:p>
            <w:pPr>
              <w:spacing w:before="60" w:after="60"/>
              <w:ind w:left="72"/>
            </w:pPr>
            <w:r>
              <w:rPr>
                <w:rFonts w:ascii="Arial" w:hAnsi="Arial"/>
                <w:color w:val="1F1F1F"/>
                <w:sz w:val="19"/>
              </w:rPr>
              <w:t>Following architecture decision</w:t>
            </w:r>
          </w:p>
        </w:tc>
      </w:tr>
    </w:tbl>
    <w:p>
      <w:pPr>
        <w:spacing w:after="120"/>
      </w:pPr>
    </w:p>
    <w:p/>
    <w:p>
      <w:pPr>
        <w:spacing w:before="40" w:after="40"/>
        <w:pBdr>
          <w:bottom w:val="single" w:sz="4" w:space="1" w:color="2E75B6"/>
        </w:pBdr>
      </w:pPr>
    </w:p>
    <w:p>
      <w:pPr>
        <w:spacing w:before="120"/>
        <w:jc w:val="center"/>
      </w:pPr>
      <w:r>
        <w:rPr>
          <w:rFonts w:ascii="Arial" w:hAnsi="Arial"/>
          <w:color w:val="707070"/>
          <w:sz w:val="16"/>
        </w:rPr>
        <w:t>Everforth ECS Practice  ·  ECS Delivery Intelligence Platform — Blueprint A  ·  INTERNAL  ·  May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rPr>
        <w:rFonts w:ascii="Calibri" w:hAnsi="Calibri"/>
        <w:color w:val="475569"/>
        <w:sz w:val="16"/>
      </w:rPr>
      <w:tab/>
    </w:r>
    <w:r>
      <w:rPr>
        <w:rFonts w:ascii="Calibri" w:hAnsi="Calibri"/>
        <w:color w:val="475569"/>
        <w:sz w:val="16"/>
      </w:rPr>
      <w:t xml:space="preserve">Page </w:t>
    </w:r>
    <w:r>
      <w:rPr>
        <w:rFonts w:ascii="Calibri" w:hAnsi="Calibri"/>
        <w:color w:val="475569"/>
        <w:sz w:val="16"/>
      </w:rPr>
      <w:fldChar w:fldCharType="begin"/>
      <w:instrText> PAGE </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_rgb.png"/>
                  <pic:cNvPicPr/>
                </pic:nvPicPr>
                <pic:blipFill>
                  <a:blip r:embed="rId1"/>
                  <a:stretch>
                    <a:fillRect/>
                  </a:stretch>
                </pic:blipFill>
                <pic:spPr>
                  <a:xfrm>
                    <a:off x="0" y="0"/>
                    <a:ext cx="960120" cy="178932"/>
                  </a:xfrm>
                  <a:prstGeom prst="rect"/>
                </pic:spPr>
              </pic:pic>
            </a:graphicData>
          </a:graphic>
        </wp:inline>
      </w:drawing>
    </w:r>
    <w:r>
      <w:rPr>
        <w:rFonts w:ascii="Calibri" w:hAnsi="Calibri"/>
        <w:color w:val="475569"/>
        <w:sz w:val="18"/>
      </w:rPr>
      <w:tab/>
    </w:r>
    <w:r>
      <w:rPr>
        <w:rFonts w:ascii="Calibri" w:hAnsi="Calibri"/>
        <w:color w:val="475569"/>
        <w:sz w:val="18"/>
      </w:rPr>
      <w:t>Internal  ·  Blueprint A: Full Custom 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