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120"/>
        <w:jc w:val="center"/>
      </w:pPr>
      <w:r>
        <w:rPr>
          <w:rFonts w:ascii="Arial" w:hAnsi="Arial"/>
          <w:b/>
          <w:color w:val="C9A02B"/>
          <w:sz w:val="22"/>
        </w:rPr>
        <w:t>EVERFORTH ECS PRACTICE</w:t>
      </w:r>
    </w:p>
    <w:p>
      <w:pPr>
        <w:spacing w:after="160"/>
        <w:jc w:val="center"/>
      </w:pPr>
      <w:r>
        <w:rPr>
          <w:rFonts w:ascii="Arial" w:hAnsi="Arial"/>
          <w:b/>
          <w:color w:val="1B3A6B"/>
          <w:sz w:val="52"/>
        </w:rPr>
        <w:t>ECS Delivery Intelligence Platform</w:t>
      </w:r>
    </w:p>
    <w:p>
      <w:pPr>
        <w:spacing w:after="80"/>
        <w:jc w:val="center"/>
      </w:pPr>
      <w:r>
        <w:rPr>
          <w:rFonts w:ascii="Arial" w:hAnsi="Arial"/>
          <w:b/>
          <w:color w:val="007A78"/>
          <w:sz w:val="32"/>
        </w:rPr>
        <w:t>BLUEPRINT B — TABLE EXTENDS APPROACH</w:t>
      </w:r>
    </w:p>
    <w:p>
      <w:pPr>
        <w:spacing w:before="40" w:after="40"/>
        <w:pBdr>
          <w:bottom w:val="single" w:sz="4" w:space="1" w:color="007A78"/>
        </w:pBdr>
      </w:pPr>
    </w:p>
    <w:p>
      <w:pPr>
        <w:spacing w:before="280" w:after="80"/>
        <w:jc w:val="center"/>
      </w:pPr>
      <w:r>
        <w:rPr>
          <w:rFonts w:ascii="Arial" w:hAnsi="Arial"/>
          <w:color w:val="707070"/>
          <w:sz w:val="26"/>
        </w:rPr>
        <w:t>Native Platform Extension Architecture</w:t>
      </w:r>
    </w:p>
    <w:p>
      <w:pPr>
        <w:spacing w:after="80"/>
        <w:jc w:val="center"/>
      </w:pPr>
      <w:r>
        <w:rPr>
          <w:rFonts w:ascii="Arial" w:hAnsi="Arial"/>
          <w:color w:val="707070"/>
          <w:sz w:val="22"/>
        </w:rPr>
        <w:t>Lower SKU Dependency · Faster to Deploy · Constrained by Native Structure</w:t>
      </w:r>
    </w:p>
    <w:p>
      <w:pPr>
        <w:spacing w:before="800"/>
        <w:jc w:val="center"/>
      </w:pPr>
      <w:r>
        <w:rPr>
          <w:rFonts w:ascii="Arial" w:hAnsi="Arial"/>
          <w:b/>
          <w:color w:val="C9A02B"/>
          <w:sz w:val="18"/>
        </w:rPr>
        <w:t>INTERNAL — FOR REVIEW WITH DIRECTOR OF TECHNICAL SERVICES</w:t>
      </w:r>
    </w:p>
    <w:p>
      <w:pPr>
        <w:spacing w:after="80"/>
        <w:jc w:val="center"/>
      </w:pPr>
      <w:r>
        <w:rPr>
          <w:rFonts w:ascii="Arial" w:hAnsi="Arial"/>
          <w:color w:val="707070"/>
          <w:sz w:val="20"/>
        </w:rPr>
        <w:t>May 2026  |  Version 1.0 Draft</w:t>
      </w:r>
    </w:p>
    <w:p>
      <w:r>
        <w:br w:type="page"/>
      </w:r>
    </w:p>
    <w:p>
      <w:pPr>
        <w:spacing w:before="360" w:after="120"/>
        <w:pBdr>
          <w:bottom w:val="single" w:sz="6" w:space="1" w:color="007A78"/>
        </w:pBdr>
      </w:pPr>
      <w:r>
        <w:rPr>
          <w:rFonts w:ascii="Arial" w:hAnsi="Arial"/>
          <w:b/>
          <w:color w:val="1B3A6B"/>
          <w:sz w:val="28"/>
        </w:rPr>
        <w:t>1. EXECUTIVE SUMMARY</w:t>
      </w:r>
    </w:p>
    <w:p>
      <w:pPr>
        <w:spacing w:before="0" w:after="160"/>
        <w:jc w:val="left"/>
      </w:pPr>
      <w:r>
        <w:rPr>
          <w:rFonts w:ascii="Arial" w:hAnsi="Arial"/>
          <w:b w:val="0"/>
          <w:i w:val="0"/>
          <w:color w:val="1F1F1F"/>
          <w:sz w:val="21"/>
        </w:rPr>
        <w:t>This blueprint defines an alternative architecture for the ECS Delivery Intelligence Platform that achieves the same functional goals as Blueprint A — role-based portal, living health dashboards, native module integration, structured delivery data — but does so by extending ServiceNow's existing native tables rather than creating new custom tables in a scoped application.</w:t>
      </w:r>
    </w:p>
    <w:p>
      <w:pPr>
        <w:spacing w:before="0" w:after="160"/>
        <w:jc w:val="left"/>
      </w:pPr>
      <w:r>
        <w:rPr>
          <w:rFonts w:ascii="Arial" w:hAnsi="Arial"/>
          <w:b w:val="0"/>
          <w:i w:val="0"/>
          <w:color w:val="1F1F1F"/>
          <w:sz w:val="21"/>
        </w:rPr>
        <w:t>Blueprint B trades architectural purity for speed and lower SKU friction. It can be deployed to a customer instance faster, does not require App Engine licensing, and can be built with configuration-first techniques that reduce development complexity. The trade-off is a less clean commercial packaging path and greater exposure to upgrade risk when ServiceNow releases new platform versions.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val="clear" w:color="auto" w:fill="E8F5F5"/>
          </w:tcPr>
          <w:p>
            <w:pPr>
              <w:spacing w:before="120" w:after="40"/>
              <w:ind w:left="144"/>
            </w:pPr>
            <w:r>
              <w:rPr>
                <w:rFonts w:ascii="Arial" w:hAnsi="Arial"/>
                <w:b/>
                <w:color w:val="007A78"/>
                <w:sz w:val="20"/>
              </w:rPr>
              <w:t xml:space="preserve">Key distinction from Blueprint A:  </w:t>
            </w:r>
            <w:r>
              <w:rPr>
                <w:rFonts w:ascii="Arial" w:hAnsi="Arial"/>
                <w:color w:val="1F1F1F"/>
                <w:sz w:val="20"/>
              </w:rPr>
              <w:t>Blueprint B does not create new custom tables. It adds fields to native tables (Task, Project, Knowledge, Group), builds portal pages on top of those extensions, and wires health scoring through calculated fields and scheduled jobs that read from native records. The delivery intelligence lives inside the platform's existing structure.</w:t>
            </w:r>
          </w:p>
          <w:p>
            <w:pPr>
              <w:spacing w:after="120"/>
            </w:pP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2592"/>
            <w:shd w:val="clear" w:color="auto" w:fill="007A78"/>
          </w:tcPr>
          <w:p>
            <w:pPr>
              <w:spacing w:before="80" w:after="80"/>
              <w:ind w:left="72"/>
            </w:pPr>
            <w:r>
              <w:rPr>
                <w:rFonts w:ascii="Arial" w:hAnsi="Arial"/>
                <w:b/>
                <w:color w:val="FFFFFF"/>
                <w:sz w:val="20"/>
              </w:rPr>
              <w:t>Dimension</w:t>
            </w:r>
          </w:p>
        </w:tc>
        <w:tc>
          <w:tcPr>
            <w:tcW w:type="dxa" w:w="6768"/>
            <w:shd w:val="clear" w:color="auto" w:fill="007A78"/>
          </w:tcPr>
          <w:p>
            <w:pPr>
              <w:spacing w:before="80" w:after="80"/>
              <w:ind w:left="72"/>
            </w:pPr>
            <w:r>
              <w:rPr>
                <w:rFonts w:ascii="Arial" w:hAnsi="Arial"/>
                <w:b/>
                <w:color w:val="FFFFFF"/>
                <w:sz w:val="20"/>
              </w:rPr>
              <w:t>This Blueprint</w:t>
            </w:r>
          </w:p>
        </w:tc>
      </w:tr>
      <w:tr>
        <w:tc>
          <w:tcPr>
            <w:tcW w:type="dxa" w:w="2592"/>
            <w:shd w:val="clear" w:color="auto" w:fill="F2F2F2"/>
          </w:tcPr>
          <w:p>
            <w:pPr>
              <w:spacing w:before="60" w:after="60"/>
              <w:ind w:left="72"/>
            </w:pPr>
            <w:r>
              <w:rPr>
                <w:rFonts w:ascii="Arial" w:hAnsi="Arial"/>
                <w:color w:val="1F1F1F"/>
                <w:sz w:val="19"/>
              </w:rPr>
              <w:t>Application Type</w:t>
            </w:r>
          </w:p>
        </w:tc>
        <w:tc>
          <w:tcPr>
            <w:tcW w:type="dxa" w:w="6768"/>
            <w:shd w:val="clear" w:color="auto" w:fill="F2F2F2"/>
          </w:tcPr>
          <w:p>
            <w:pPr>
              <w:spacing w:before="60" w:after="60"/>
              <w:ind w:left="72"/>
            </w:pPr>
            <w:r>
              <w:rPr>
                <w:rFonts w:ascii="Arial" w:hAnsi="Arial"/>
                <w:color w:val="1F1F1F"/>
                <w:sz w:val="19"/>
              </w:rPr>
              <w:t>Table extensions + scoped UI/Portal only; no new custom base tables</w:t>
            </w:r>
          </w:p>
        </w:tc>
      </w:tr>
      <w:tr>
        <w:tc>
          <w:tcPr>
            <w:tcW w:type="dxa" w:w="2592"/>
            <w:shd w:val="clear" w:color="auto" w:fill="FFFFFF"/>
          </w:tcPr>
          <w:p>
            <w:pPr>
              <w:spacing w:before="60" w:after="60"/>
              <w:ind w:left="72"/>
            </w:pPr>
            <w:r>
              <w:rPr>
                <w:rFonts w:ascii="Arial" w:hAnsi="Arial"/>
                <w:color w:val="1F1F1F"/>
                <w:sz w:val="19"/>
              </w:rPr>
              <w:t>Deployment Model</w:t>
            </w:r>
          </w:p>
        </w:tc>
        <w:tc>
          <w:tcPr>
            <w:tcW w:type="dxa" w:w="6768"/>
            <w:shd w:val="clear" w:color="auto" w:fill="FFFFFF"/>
          </w:tcPr>
          <w:p>
            <w:pPr>
              <w:spacing w:before="60" w:after="60"/>
              <w:ind w:left="72"/>
            </w:pPr>
            <w:r>
              <w:rPr>
                <w:rFonts w:ascii="Arial" w:hAnsi="Arial"/>
                <w:color w:val="1F1F1F"/>
                <w:sz w:val="19"/>
              </w:rPr>
              <w:t>Update set of field extensions, portal pages, business rules — smaller footprint than Blueprint A</w:t>
            </w:r>
          </w:p>
        </w:tc>
      </w:tr>
      <w:tr>
        <w:tc>
          <w:tcPr>
            <w:tcW w:type="dxa" w:w="2592"/>
            <w:shd w:val="clear" w:color="auto" w:fill="F2F2F2"/>
          </w:tcPr>
          <w:p>
            <w:pPr>
              <w:spacing w:before="60" w:after="60"/>
              <w:ind w:left="72"/>
            </w:pPr>
            <w:r>
              <w:rPr>
                <w:rFonts w:ascii="Arial" w:hAnsi="Arial"/>
                <w:color w:val="1F1F1F"/>
                <w:sz w:val="19"/>
              </w:rPr>
              <w:t>Target Audience</w:t>
            </w:r>
          </w:p>
        </w:tc>
        <w:tc>
          <w:tcPr>
            <w:tcW w:type="dxa" w:w="6768"/>
            <w:shd w:val="clear" w:color="auto" w:fill="F2F2F2"/>
          </w:tcPr>
          <w:p>
            <w:pPr>
              <w:spacing w:before="60" w:after="60"/>
              <w:ind w:left="72"/>
            </w:pPr>
            <w:r>
              <w:rPr>
                <w:rFonts w:ascii="Arial" w:hAnsi="Arial"/>
                <w:color w:val="1F1F1F"/>
                <w:sz w:val="19"/>
              </w:rPr>
              <w:t>Same roles as Blueprint A: Everforth consultants + customer stakeholders (portal-only)</w:t>
            </w:r>
          </w:p>
        </w:tc>
      </w:tr>
      <w:tr>
        <w:tc>
          <w:tcPr>
            <w:tcW w:type="dxa" w:w="2592"/>
            <w:shd w:val="clear" w:color="auto" w:fill="FFFFFF"/>
          </w:tcPr>
          <w:p>
            <w:pPr>
              <w:spacing w:before="60" w:after="60"/>
              <w:ind w:left="72"/>
            </w:pPr>
            <w:r>
              <w:rPr>
                <w:rFonts w:ascii="Arial" w:hAnsi="Arial"/>
                <w:color w:val="1F1F1F"/>
                <w:sz w:val="19"/>
              </w:rPr>
              <w:t>Data Strategy</w:t>
            </w:r>
          </w:p>
        </w:tc>
        <w:tc>
          <w:tcPr>
            <w:tcW w:type="dxa" w:w="6768"/>
            <w:shd w:val="clear" w:color="auto" w:fill="FFFFFF"/>
          </w:tcPr>
          <w:p>
            <w:pPr>
              <w:spacing w:before="60" w:after="60"/>
              <w:ind w:left="72"/>
            </w:pPr>
            <w:r>
              <w:rPr>
                <w:rFonts w:ascii="Arial" w:hAnsi="Arial"/>
                <w:color w:val="1F1F1F"/>
                <w:sz w:val="19"/>
              </w:rPr>
              <w:t>Extend native tables: Task, pm_project, kb_knowledge, sys_user_group, rm_story</w:t>
            </w:r>
          </w:p>
        </w:tc>
      </w:tr>
      <w:tr>
        <w:tc>
          <w:tcPr>
            <w:tcW w:type="dxa" w:w="2592"/>
            <w:shd w:val="clear" w:color="auto" w:fill="F2F2F2"/>
          </w:tcPr>
          <w:p>
            <w:pPr>
              <w:spacing w:before="60" w:after="60"/>
              <w:ind w:left="72"/>
            </w:pPr>
            <w:r>
              <w:rPr>
                <w:rFonts w:ascii="Arial" w:hAnsi="Arial"/>
                <w:color w:val="1F1F1F"/>
                <w:sz w:val="19"/>
              </w:rPr>
              <w:t>Dashboard Approach</w:t>
            </w:r>
          </w:p>
        </w:tc>
        <w:tc>
          <w:tcPr>
            <w:tcW w:type="dxa" w:w="6768"/>
            <w:shd w:val="clear" w:color="auto" w:fill="F2F2F2"/>
          </w:tcPr>
          <w:p>
            <w:pPr>
              <w:spacing w:before="60" w:after="60"/>
              <w:ind w:left="72"/>
            </w:pPr>
            <w:r>
              <w:rPr>
                <w:rFonts w:ascii="Arial" w:hAnsi="Arial"/>
                <w:color w:val="1F1F1F"/>
                <w:sz w:val="19"/>
              </w:rPr>
              <w:t>Native platform reporting + optional PA widgets; same health score logic as Blueprint A</w:t>
            </w:r>
          </w:p>
        </w:tc>
      </w:tr>
      <w:tr>
        <w:tc>
          <w:tcPr>
            <w:tcW w:type="dxa" w:w="2592"/>
            <w:shd w:val="clear" w:color="auto" w:fill="FFFFFF"/>
          </w:tcPr>
          <w:p>
            <w:pPr>
              <w:spacing w:before="60" w:after="60"/>
              <w:ind w:left="72"/>
            </w:pPr>
            <w:r>
              <w:rPr>
                <w:rFonts w:ascii="Arial" w:hAnsi="Arial"/>
                <w:color w:val="1F1F1F"/>
                <w:sz w:val="19"/>
              </w:rPr>
              <w:t>Commercial Path</w:t>
            </w:r>
          </w:p>
        </w:tc>
        <w:tc>
          <w:tcPr>
            <w:tcW w:type="dxa" w:w="6768"/>
            <w:shd w:val="clear" w:color="auto" w:fill="FFFFFF"/>
          </w:tcPr>
          <w:p>
            <w:pPr>
              <w:spacing w:before="60" w:after="60"/>
              <w:ind w:left="72"/>
            </w:pPr>
            <w:r>
              <w:rPr>
                <w:rFonts w:ascii="Arial" w:hAnsi="Arial"/>
                <w:color w:val="1F1F1F"/>
                <w:sz w:val="19"/>
              </w:rPr>
              <w:t>Engagement deliverable; Store path is harder — extended tables are messier to package</w:t>
            </w:r>
          </w:p>
        </w:tc>
      </w:tr>
      <w:tr>
        <w:tc>
          <w:tcPr>
            <w:tcW w:type="dxa" w:w="2592"/>
            <w:shd w:val="clear" w:color="auto" w:fill="F2F2F2"/>
          </w:tcPr>
          <w:p>
            <w:pPr>
              <w:spacing w:before="60" w:after="60"/>
              <w:ind w:left="72"/>
            </w:pPr>
            <w:r>
              <w:rPr>
                <w:rFonts w:ascii="Arial" w:hAnsi="Arial"/>
                <w:color w:val="1F1F1F"/>
                <w:sz w:val="19"/>
              </w:rPr>
              <w:t>Key Advantage</w:t>
            </w:r>
          </w:p>
        </w:tc>
        <w:tc>
          <w:tcPr>
            <w:tcW w:type="dxa" w:w="6768"/>
            <w:shd w:val="clear" w:color="auto" w:fill="F2F2F2"/>
          </w:tcPr>
          <w:p>
            <w:pPr>
              <w:spacing w:before="60" w:after="60"/>
              <w:ind w:left="72"/>
            </w:pPr>
            <w:r>
              <w:rPr>
                <w:rFonts w:ascii="Arial" w:hAnsi="Arial"/>
                <w:color w:val="1F1F1F"/>
                <w:sz w:val="19"/>
              </w:rPr>
              <w:t>Faster to build (10–12 weeks), no App Engine SKU needed, lower customer licensing risk</w:t>
            </w:r>
          </w:p>
        </w:tc>
      </w:tr>
      <w:tr>
        <w:tc>
          <w:tcPr>
            <w:tcW w:type="dxa" w:w="2592"/>
            <w:shd w:val="clear" w:color="auto" w:fill="FFFFFF"/>
          </w:tcPr>
          <w:p>
            <w:pPr>
              <w:spacing w:before="60" w:after="60"/>
              <w:ind w:left="72"/>
            </w:pPr>
            <w:r>
              <w:rPr>
                <w:rFonts w:ascii="Arial" w:hAnsi="Arial"/>
                <w:color w:val="1F1F1F"/>
                <w:sz w:val="19"/>
              </w:rPr>
              <w:t>Key Constraint</w:t>
            </w:r>
          </w:p>
        </w:tc>
        <w:tc>
          <w:tcPr>
            <w:tcW w:type="dxa" w:w="6768"/>
            <w:shd w:val="clear" w:color="auto" w:fill="FFFFFF"/>
          </w:tcPr>
          <w:p>
            <w:pPr>
              <w:spacing w:before="60" w:after="60"/>
              <w:ind w:left="72"/>
            </w:pPr>
            <w:r>
              <w:rPr>
                <w:rFonts w:ascii="Arial" w:hAnsi="Arial"/>
                <w:color w:val="1F1F1F"/>
                <w:sz w:val="19"/>
              </w:rPr>
              <w:t>Native table field limits, upgrade exposure, harder to package as standalone commercial product</w:t>
            </w:r>
          </w:p>
        </w:tc>
      </w:tr>
    </w:tbl>
    <w:p>
      <w:pPr>
        <w:spacing w:after="120"/>
      </w:pPr>
    </w:p>
    <w:p>
      <w:r>
        <w:br w:type="page"/>
      </w:r>
    </w:p>
    <w:p>
      <w:pPr>
        <w:spacing w:before="360" w:after="120"/>
        <w:pBdr>
          <w:bottom w:val="single" w:sz="6" w:space="1" w:color="007A78"/>
        </w:pBdr>
      </w:pPr>
      <w:r>
        <w:rPr>
          <w:rFonts w:ascii="Arial" w:hAnsi="Arial"/>
          <w:b/>
          <w:color w:val="1B3A6B"/>
          <w:sz w:val="28"/>
        </w:rPr>
        <w:t>2. ARCHITECTURE PHILOSOPHY — EXTEND, DO NOT BUILD</w:t>
      </w:r>
    </w:p>
    <w:p>
      <w:pPr>
        <w:spacing w:before="0" w:after="160"/>
        <w:jc w:val="left"/>
      </w:pPr>
      <w:r>
        <w:rPr>
          <w:rFonts w:ascii="Arial" w:hAnsi="Arial"/>
          <w:b w:val="0"/>
          <w:i w:val="0"/>
          <w:color w:val="1F1F1F"/>
          <w:sz w:val="21"/>
        </w:rPr>
        <w:t>ServiceNow's platform is built around a small number of powerful base tables that everything else extends from. The Task table [task] is the foundation of virtually all work records — incidents, changes, requests, stories, project tasks. The Project table [pm_project] underpins SPM. Knowledge [kb_knowledge] underpins the knowledge base.</w:t>
      </w:r>
    </w:p>
    <w:p>
      <w:pPr>
        <w:spacing w:before="0" w:after="160"/>
        <w:jc w:val="left"/>
      </w:pPr>
      <w:r>
        <w:rPr>
          <w:rFonts w:ascii="Arial" w:hAnsi="Arial"/>
          <w:b w:val="0"/>
          <w:i w:val="0"/>
          <w:color w:val="1F1F1F"/>
          <w:sz w:val="21"/>
        </w:rPr>
        <w:t>Blueprint B leverages this extensibility model deliberately. Rather than defining what an 'Engagement' or 'Sprint Gate' is from scratch, we extend existing concepts: a Sprint Gate is a Project Task with additional fields. A Risk Record is a task-extended record in the existing Risk Management module. A Decision is a catalog task with added metadata. Methodology content is a Knowledge Article with additional categorization fields.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val="clear" w:color="auto" w:fill="FEF9EC"/>
          </w:tcPr>
          <w:p>
            <w:pPr>
              <w:spacing w:before="120" w:after="40"/>
              <w:ind w:left="144"/>
            </w:pPr>
            <w:r>
              <w:rPr>
                <w:rFonts w:ascii="Arial" w:hAnsi="Arial"/>
                <w:b/>
                <w:color w:val="C9A02B"/>
                <w:sz w:val="20"/>
              </w:rPr>
              <w:t xml:space="preserve">Design constraint to hold:  </w:t>
            </w:r>
            <w:r>
              <w:rPr>
                <w:rFonts w:ascii="Arial" w:hAnsi="Arial"/>
                <w:color w:val="1F1F1F"/>
                <w:sz w:val="20"/>
              </w:rPr>
              <w:t>Every field added to a native table must be prefixed with the application scope (u_ecs_ or x_everforth_ecs_) and documented in the extension registry. Undocumented field additions are the primary cause of upgrade conflicts. Discipline here is non-negotiable.</w:t>
            </w:r>
          </w:p>
          <w:p>
            <w:pPr>
              <w:spacing w:after="120"/>
            </w:pPr>
          </w:p>
        </w:tc>
      </w:tr>
    </w:tbl>
    <w:p>
      <w:pPr>
        <w:spacing w:after="80"/>
      </w:pPr>
    </w:p>
    <w:p>
      <w:r>
        <w:br w:type="page"/>
      </w:r>
    </w:p>
    <w:p>
      <w:pPr>
        <w:spacing w:before="360" w:after="120"/>
        <w:pBdr>
          <w:bottom w:val="single" w:sz="6" w:space="1" w:color="007A78"/>
        </w:pBdr>
      </w:pPr>
      <w:r>
        <w:rPr>
          <w:rFonts w:ascii="Arial" w:hAnsi="Arial"/>
          <w:b/>
          <w:color w:val="1B3A6B"/>
          <w:sz w:val="28"/>
        </w:rPr>
        <w:t>3. TABLE EXTENSION STRATEGY</w:t>
      </w:r>
    </w:p>
    <w:p>
      <w:pPr>
        <w:spacing w:before="0" w:after="200"/>
        <w:jc w:val="left"/>
      </w:pPr>
      <w:r>
        <w:rPr>
          <w:rFonts w:ascii="Arial" w:hAnsi="Arial"/>
          <w:b w:val="0"/>
          <w:i w:val="0"/>
          <w:color w:val="1F1F1F"/>
          <w:sz w:val="21"/>
        </w:rPr>
        <w:t>The following native tables are extended. Each extension adds only the fields necessary to support delivery intelligence — no redundant fields that duplicate native functionality.</w:t>
      </w:r>
    </w:p>
    <w:p>
      <w:pPr>
        <w:spacing w:before="240" w:after="80"/>
      </w:pPr>
      <w:r>
        <w:rPr>
          <w:rFonts w:ascii="Arial" w:hAnsi="Arial"/>
          <w:b/>
          <w:color w:val="007A78"/>
          <w:sz w:val="24"/>
        </w:rPr>
        <w:t>3.1  Extending pm_project — The Engagement Record</w:t>
      </w:r>
    </w:p>
    <w:p>
      <w:pPr>
        <w:spacing w:before="0" w:after="120"/>
        <w:jc w:val="left"/>
      </w:pPr>
      <w:r>
        <w:rPr>
          <w:rFonts w:ascii="Arial" w:hAnsi="Arial"/>
          <w:b w:val="0"/>
          <w:i w:val="0"/>
          <w:color w:val="1F1F1F"/>
          <w:sz w:val="21"/>
        </w:rPr>
        <w:t>ServiceNow's Strategic Portfolio Management project table becomes the Engagement record. A project is created per engagement and extended with ECS-specific fields. This gives us SPM's native milestone, resource, and portfolio capabilities for free.</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2736"/>
            <w:shd w:val="clear" w:color="auto" w:fill="007A78"/>
          </w:tcPr>
          <w:p>
            <w:pPr>
              <w:spacing w:before="80" w:after="80"/>
              <w:ind w:left="72"/>
            </w:pPr>
            <w:r>
              <w:rPr>
                <w:rFonts w:ascii="Arial" w:hAnsi="Arial"/>
                <w:b/>
                <w:color w:val="FFFFFF"/>
                <w:sz w:val="20"/>
              </w:rPr>
              <w:t>Extended Field</w:t>
            </w:r>
          </w:p>
        </w:tc>
        <w:tc>
          <w:tcPr>
            <w:tcW w:type="dxa" w:w="1872"/>
            <w:shd w:val="clear" w:color="auto" w:fill="007A78"/>
          </w:tcPr>
          <w:p>
            <w:pPr>
              <w:spacing w:before="80" w:after="80"/>
              <w:ind w:left="72"/>
            </w:pPr>
            <w:r>
              <w:rPr>
                <w:rFonts w:ascii="Arial" w:hAnsi="Arial"/>
                <w:b/>
                <w:color w:val="FFFFFF"/>
                <w:sz w:val="20"/>
              </w:rPr>
              <w:t>Type</w:t>
            </w:r>
          </w:p>
        </w:tc>
        <w:tc>
          <w:tcPr>
            <w:tcW w:type="dxa" w:w="4752"/>
            <w:shd w:val="clear" w:color="auto" w:fill="007A78"/>
          </w:tcPr>
          <w:p>
            <w:pPr>
              <w:spacing w:before="80" w:after="80"/>
              <w:ind w:left="72"/>
            </w:pPr>
            <w:r>
              <w:rPr>
                <w:rFonts w:ascii="Arial" w:hAnsi="Arial"/>
                <w:b/>
                <w:color w:val="FFFFFF"/>
                <w:sz w:val="20"/>
              </w:rPr>
              <w:t>Purpose</w:t>
            </w:r>
          </w:p>
        </w:tc>
      </w:tr>
      <w:tr>
        <w:tc>
          <w:tcPr>
            <w:tcW w:type="dxa" w:w="2736"/>
            <w:shd w:val="clear" w:color="auto" w:fill="F2F2F2"/>
          </w:tcPr>
          <w:p>
            <w:pPr>
              <w:spacing w:before="60" w:after="60"/>
              <w:ind w:left="72"/>
            </w:pPr>
            <w:r>
              <w:rPr>
                <w:rFonts w:ascii="Arial" w:hAnsi="Arial"/>
                <w:color w:val="1F1F1F"/>
                <w:sz w:val="19"/>
              </w:rPr>
              <w:t>u_ecs_engagement_type</w:t>
            </w:r>
          </w:p>
        </w:tc>
        <w:tc>
          <w:tcPr>
            <w:tcW w:type="dxa" w:w="1872"/>
            <w:shd w:val="clear" w:color="auto" w:fill="F2F2F2"/>
          </w:tcPr>
          <w:p>
            <w:pPr>
              <w:spacing w:before="60" w:after="60"/>
              <w:ind w:left="72"/>
            </w:pPr>
            <w:r>
              <w:rPr>
                <w:rFonts w:ascii="Arial" w:hAnsi="Arial"/>
                <w:color w:val="1F1F1F"/>
                <w:sz w:val="19"/>
              </w:rPr>
              <w:t>Choice</w:t>
            </w:r>
          </w:p>
        </w:tc>
        <w:tc>
          <w:tcPr>
            <w:tcW w:type="dxa" w:w="4752"/>
            <w:shd w:val="clear" w:color="auto" w:fill="F2F2F2"/>
          </w:tcPr>
          <w:p>
            <w:pPr>
              <w:spacing w:before="60" w:after="60"/>
              <w:ind w:left="72"/>
            </w:pPr>
            <w:r>
              <w:rPr>
                <w:rFonts w:ascii="Arial" w:hAnsi="Arial"/>
                <w:color w:val="1F1F1F"/>
                <w:sz w:val="19"/>
              </w:rPr>
              <w:t>ECS OOTB / HAM-Only / SAM-Only / Custom scope</w:t>
            </w:r>
          </w:p>
        </w:tc>
      </w:tr>
      <w:tr>
        <w:tc>
          <w:tcPr>
            <w:tcW w:type="dxa" w:w="2736"/>
            <w:shd w:val="clear" w:color="auto" w:fill="FFFFFF"/>
          </w:tcPr>
          <w:p>
            <w:pPr>
              <w:spacing w:before="60" w:after="60"/>
              <w:ind w:left="72"/>
            </w:pPr>
            <w:r>
              <w:rPr>
                <w:rFonts w:ascii="Arial" w:hAnsi="Arial"/>
                <w:color w:val="1F1F1F"/>
                <w:sz w:val="19"/>
              </w:rPr>
              <w:t>u_ecs_health_score</w:t>
            </w:r>
          </w:p>
        </w:tc>
        <w:tc>
          <w:tcPr>
            <w:tcW w:type="dxa" w:w="1872"/>
            <w:shd w:val="clear" w:color="auto" w:fill="FFFFFF"/>
          </w:tcPr>
          <w:p>
            <w:pPr>
              <w:spacing w:before="60" w:after="60"/>
              <w:ind w:left="72"/>
            </w:pPr>
            <w:r>
              <w:rPr>
                <w:rFonts w:ascii="Arial" w:hAnsi="Arial"/>
                <w:color w:val="1F1F1F"/>
                <w:sz w:val="19"/>
              </w:rPr>
              <w:t>Integer</w:t>
            </w:r>
          </w:p>
        </w:tc>
        <w:tc>
          <w:tcPr>
            <w:tcW w:type="dxa" w:w="4752"/>
            <w:shd w:val="clear" w:color="auto" w:fill="FFFFFF"/>
          </w:tcPr>
          <w:p>
            <w:pPr>
              <w:spacing w:before="60" w:after="60"/>
              <w:ind w:left="72"/>
            </w:pPr>
            <w:r>
              <w:rPr>
                <w:rFonts w:ascii="Arial" w:hAnsi="Arial"/>
                <w:color w:val="1F1F1F"/>
                <w:sz w:val="19"/>
              </w:rPr>
              <w:t>0–100, calculated by scheduled job</w:t>
            </w:r>
          </w:p>
        </w:tc>
      </w:tr>
      <w:tr>
        <w:tc>
          <w:tcPr>
            <w:tcW w:type="dxa" w:w="2736"/>
            <w:shd w:val="clear" w:color="auto" w:fill="F2F2F2"/>
          </w:tcPr>
          <w:p>
            <w:pPr>
              <w:spacing w:before="60" w:after="60"/>
              <w:ind w:left="72"/>
            </w:pPr>
            <w:r>
              <w:rPr>
                <w:rFonts w:ascii="Arial" w:hAnsi="Arial"/>
                <w:color w:val="1F1F1F"/>
                <w:sz w:val="19"/>
              </w:rPr>
              <w:t>u_ecs_health_indicator</w:t>
            </w:r>
          </w:p>
        </w:tc>
        <w:tc>
          <w:tcPr>
            <w:tcW w:type="dxa" w:w="1872"/>
            <w:shd w:val="clear" w:color="auto" w:fill="F2F2F2"/>
          </w:tcPr>
          <w:p>
            <w:pPr>
              <w:spacing w:before="60" w:after="60"/>
              <w:ind w:left="72"/>
            </w:pPr>
            <w:r>
              <w:rPr>
                <w:rFonts w:ascii="Arial" w:hAnsi="Arial"/>
                <w:color w:val="1F1F1F"/>
                <w:sz w:val="19"/>
              </w:rPr>
              <w:t>Choice</w:t>
            </w:r>
          </w:p>
        </w:tc>
        <w:tc>
          <w:tcPr>
            <w:tcW w:type="dxa" w:w="4752"/>
            <w:shd w:val="clear" w:color="auto" w:fill="F2F2F2"/>
          </w:tcPr>
          <w:p>
            <w:pPr>
              <w:spacing w:before="60" w:after="60"/>
              <w:ind w:left="72"/>
            </w:pPr>
            <w:r>
              <w:rPr>
                <w:rFonts w:ascii="Arial" w:hAnsi="Arial"/>
                <w:color w:val="1F1F1F"/>
                <w:sz w:val="19"/>
              </w:rPr>
              <w:t>Red / Yellow / Green — derived from health score</w:t>
            </w:r>
          </w:p>
        </w:tc>
      </w:tr>
      <w:tr>
        <w:tc>
          <w:tcPr>
            <w:tcW w:type="dxa" w:w="2736"/>
            <w:shd w:val="clear" w:color="auto" w:fill="FFFFFF"/>
          </w:tcPr>
          <w:p>
            <w:pPr>
              <w:spacing w:before="60" w:after="60"/>
              <w:ind w:left="72"/>
            </w:pPr>
            <w:r>
              <w:rPr>
                <w:rFonts w:ascii="Arial" w:hAnsi="Arial"/>
                <w:color w:val="1F1F1F"/>
                <w:sz w:val="19"/>
              </w:rPr>
              <w:t>u_ecs_current_sprint</w:t>
            </w:r>
          </w:p>
        </w:tc>
        <w:tc>
          <w:tcPr>
            <w:tcW w:type="dxa" w:w="1872"/>
            <w:shd w:val="clear" w:color="auto" w:fill="FFFFFF"/>
          </w:tcPr>
          <w:p>
            <w:pPr>
              <w:spacing w:before="60" w:after="60"/>
              <w:ind w:left="72"/>
            </w:pPr>
            <w:r>
              <w:rPr>
                <w:rFonts w:ascii="Arial" w:hAnsi="Arial"/>
                <w:color w:val="1F1F1F"/>
                <w:sz w:val="19"/>
              </w:rPr>
              <w:t>Choice</w:t>
            </w:r>
          </w:p>
        </w:tc>
        <w:tc>
          <w:tcPr>
            <w:tcW w:type="dxa" w:w="4752"/>
            <w:shd w:val="clear" w:color="auto" w:fill="FFFFFF"/>
          </w:tcPr>
          <w:p>
            <w:pPr>
              <w:spacing w:before="60" w:after="60"/>
              <w:ind w:left="72"/>
            </w:pPr>
            <w:r>
              <w:rPr>
                <w:rFonts w:ascii="Arial" w:hAnsi="Arial"/>
                <w:color w:val="1F1F1F"/>
                <w:sz w:val="19"/>
              </w:rPr>
              <w:t>Sprint 0 through Sprint 6, Hypercare</w:t>
            </w:r>
          </w:p>
        </w:tc>
      </w:tr>
      <w:tr>
        <w:tc>
          <w:tcPr>
            <w:tcW w:type="dxa" w:w="2736"/>
            <w:shd w:val="clear" w:color="auto" w:fill="F2F2F2"/>
          </w:tcPr>
          <w:p>
            <w:pPr>
              <w:spacing w:before="60" w:after="60"/>
              <w:ind w:left="72"/>
            </w:pPr>
            <w:r>
              <w:rPr>
                <w:rFonts w:ascii="Arial" w:hAnsi="Arial"/>
                <w:color w:val="1F1F1F"/>
                <w:sz w:val="19"/>
              </w:rPr>
              <w:t>u_ecs_delivery_manager</w:t>
            </w:r>
          </w:p>
        </w:tc>
        <w:tc>
          <w:tcPr>
            <w:tcW w:type="dxa" w:w="1872"/>
            <w:shd w:val="clear" w:color="auto" w:fill="F2F2F2"/>
          </w:tcPr>
          <w:p>
            <w:pPr>
              <w:spacing w:before="60" w:after="60"/>
              <w:ind w:left="72"/>
            </w:pPr>
            <w:r>
              <w:rPr>
                <w:rFonts w:ascii="Arial" w:hAnsi="Arial"/>
                <w:color w:val="1F1F1F"/>
                <w:sz w:val="19"/>
              </w:rPr>
              <w:t>Reference → User</w:t>
            </w:r>
          </w:p>
        </w:tc>
        <w:tc>
          <w:tcPr>
            <w:tcW w:type="dxa" w:w="4752"/>
            <w:shd w:val="clear" w:color="auto" w:fill="F2F2F2"/>
          </w:tcPr>
          <w:p>
            <w:pPr>
              <w:spacing w:before="60" w:after="60"/>
              <w:ind w:left="72"/>
            </w:pPr>
            <w:r>
              <w:rPr>
                <w:rFonts w:ascii="Arial" w:hAnsi="Arial"/>
                <w:color w:val="1F1F1F"/>
                <w:sz w:val="19"/>
              </w:rPr>
              <w:t>Everforth DM assigned</w:t>
            </w:r>
          </w:p>
        </w:tc>
      </w:tr>
      <w:tr>
        <w:tc>
          <w:tcPr>
            <w:tcW w:type="dxa" w:w="2736"/>
            <w:shd w:val="clear" w:color="auto" w:fill="FFFFFF"/>
          </w:tcPr>
          <w:p>
            <w:pPr>
              <w:spacing w:before="60" w:after="60"/>
              <w:ind w:left="72"/>
            </w:pPr>
            <w:r>
              <w:rPr>
                <w:rFonts w:ascii="Arial" w:hAnsi="Arial"/>
                <w:color w:val="1F1F1F"/>
                <w:sz w:val="19"/>
              </w:rPr>
              <w:t>u_ecs_lead_architect</w:t>
            </w:r>
          </w:p>
        </w:tc>
        <w:tc>
          <w:tcPr>
            <w:tcW w:type="dxa" w:w="1872"/>
            <w:shd w:val="clear" w:color="auto" w:fill="FFFFFF"/>
          </w:tcPr>
          <w:p>
            <w:pPr>
              <w:spacing w:before="60" w:after="60"/>
              <w:ind w:left="72"/>
            </w:pPr>
            <w:r>
              <w:rPr>
                <w:rFonts w:ascii="Arial" w:hAnsi="Arial"/>
                <w:color w:val="1F1F1F"/>
                <w:sz w:val="19"/>
              </w:rPr>
              <w:t>Reference → User</w:t>
            </w:r>
          </w:p>
        </w:tc>
        <w:tc>
          <w:tcPr>
            <w:tcW w:type="dxa" w:w="4752"/>
            <w:shd w:val="clear" w:color="auto" w:fill="FFFFFF"/>
          </w:tcPr>
          <w:p>
            <w:pPr>
              <w:spacing w:before="60" w:after="60"/>
              <w:ind w:left="72"/>
            </w:pPr>
            <w:r>
              <w:rPr>
                <w:rFonts w:ascii="Arial" w:hAnsi="Arial"/>
                <w:color w:val="1F1F1F"/>
                <w:sz w:val="19"/>
              </w:rPr>
              <w:t>Everforth architect</w:t>
            </w:r>
          </w:p>
        </w:tc>
      </w:tr>
      <w:tr>
        <w:tc>
          <w:tcPr>
            <w:tcW w:type="dxa" w:w="2736"/>
            <w:shd w:val="clear" w:color="auto" w:fill="F2F2F2"/>
          </w:tcPr>
          <w:p>
            <w:pPr>
              <w:spacing w:before="60" w:after="60"/>
              <w:ind w:left="72"/>
            </w:pPr>
            <w:r>
              <w:rPr>
                <w:rFonts w:ascii="Arial" w:hAnsi="Arial"/>
                <w:color w:val="1F1F1F"/>
                <w:sz w:val="19"/>
              </w:rPr>
              <w:t>u_ecs_customer_sponsor</w:t>
            </w:r>
          </w:p>
        </w:tc>
        <w:tc>
          <w:tcPr>
            <w:tcW w:type="dxa" w:w="1872"/>
            <w:shd w:val="clear" w:color="auto" w:fill="F2F2F2"/>
          </w:tcPr>
          <w:p>
            <w:pPr>
              <w:spacing w:before="60" w:after="60"/>
              <w:ind w:left="72"/>
            </w:pPr>
            <w:r>
              <w:rPr>
                <w:rFonts w:ascii="Arial" w:hAnsi="Arial"/>
                <w:color w:val="1F1F1F"/>
                <w:sz w:val="19"/>
              </w:rPr>
              <w:t>Reference → User</w:t>
            </w:r>
          </w:p>
        </w:tc>
        <w:tc>
          <w:tcPr>
            <w:tcW w:type="dxa" w:w="4752"/>
            <w:shd w:val="clear" w:color="auto" w:fill="F2F2F2"/>
          </w:tcPr>
          <w:p>
            <w:pPr>
              <w:spacing w:before="60" w:after="60"/>
              <w:ind w:left="72"/>
            </w:pPr>
            <w:r>
              <w:rPr>
                <w:rFonts w:ascii="Arial" w:hAnsi="Arial"/>
                <w:color w:val="1F1F1F"/>
                <w:sz w:val="19"/>
              </w:rPr>
              <w:t>Customer executive sponsor (gets portal access)</w:t>
            </w:r>
          </w:p>
        </w:tc>
      </w:tr>
      <w:tr>
        <w:tc>
          <w:tcPr>
            <w:tcW w:type="dxa" w:w="2736"/>
            <w:shd w:val="clear" w:color="auto" w:fill="FFFFFF"/>
          </w:tcPr>
          <w:p>
            <w:pPr>
              <w:spacing w:before="60" w:after="60"/>
              <w:ind w:left="72"/>
            </w:pPr>
            <w:r>
              <w:rPr>
                <w:rFonts w:ascii="Arial" w:hAnsi="Arial"/>
                <w:color w:val="1F1F1F"/>
                <w:sz w:val="19"/>
              </w:rPr>
              <w:t>u_ecs_agile_backlog</w:t>
            </w:r>
          </w:p>
        </w:tc>
        <w:tc>
          <w:tcPr>
            <w:tcW w:type="dxa" w:w="1872"/>
            <w:shd w:val="clear" w:color="auto" w:fill="FFFFFF"/>
          </w:tcPr>
          <w:p>
            <w:pPr>
              <w:spacing w:before="60" w:after="60"/>
              <w:ind w:left="72"/>
            </w:pPr>
            <w:r>
              <w:rPr>
                <w:rFonts w:ascii="Arial" w:hAnsi="Arial"/>
                <w:color w:val="1F1F1F"/>
                <w:sz w:val="19"/>
              </w:rPr>
              <w:t>Reference → rm_sprint_backlog</w:t>
            </w:r>
          </w:p>
        </w:tc>
        <w:tc>
          <w:tcPr>
            <w:tcW w:type="dxa" w:w="4752"/>
            <w:shd w:val="clear" w:color="auto" w:fill="FFFFFF"/>
          </w:tcPr>
          <w:p>
            <w:pPr>
              <w:spacing w:before="60" w:after="60"/>
              <w:ind w:left="72"/>
            </w:pPr>
            <w:r>
              <w:rPr>
                <w:rFonts w:ascii="Arial" w:hAnsi="Arial"/>
                <w:color w:val="1F1F1F"/>
                <w:sz w:val="19"/>
              </w:rPr>
              <w:t>Links project to Agile backlog</w:t>
            </w:r>
          </w:p>
        </w:tc>
      </w:tr>
      <w:tr>
        <w:tc>
          <w:tcPr>
            <w:tcW w:type="dxa" w:w="2736"/>
            <w:shd w:val="clear" w:color="auto" w:fill="F2F2F2"/>
          </w:tcPr>
          <w:p>
            <w:pPr>
              <w:spacing w:before="60" w:after="60"/>
              <w:ind w:left="72"/>
            </w:pPr>
            <w:r>
              <w:rPr>
                <w:rFonts w:ascii="Arial" w:hAnsi="Arial"/>
                <w:color w:val="1F1F1F"/>
                <w:sz w:val="19"/>
              </w:rPr>
              <w:t>u_ecs_portal_active</w:t>
            </w:r>
          </w:p>
        </w:tc>
        <w:tc>
          <w:tcPr>
            <w:tcW w:type="dxa" w:w="1872"/>
            <w:shd w:val="clear" w:color="auto" w:fill="F2F2F2"/>
          </w:tcPr>
          <w:p>
            <w:pPr>
              <w:spacing w:before="60" w:after="60"/>
              <w:ind w:left="72"/>
            </w:pPr>
            <w:r>
              <w:rPr>
                <w:rFonts w:ascii="Arial" w:hAnsi="Arial"/>
                <w:color w:val="1F1F1F"/>
                <w:sz w:val="19"/>
              </w:rPr>
              <w:t>Boolean</w:t>
            </w:r>
          </w:p>
        </w:tc>
        <w:tc>
          <w:tcPr>
            <w:tcW w:type="dxa" w:w="4752"/>
            <w:shd w:val="clear" w:color="auto" w:fill="F2F2F2"/>
          </w:tcPr>
          <w:p>
            <w:pPr>
              <w:spacing w:before="60" w:after="60"/>
              <w:ind w:left="72"/>
            </w:pPr>
            <w:r>
              <w:rPr>
                <w:rFonts w:ascii="Arial" w:hAnsi="Arial"/>
                <w:color w:val="1F1F1F"/>
                <w:sz w:val="19"/>
              </w:rPr>
              <w:t>Whether customer portal view is live for this engagement</w:t>
            </w:r>
          </w:p>
        </w:tc>
      </w:tr>
    </w:tbl>
    <w:p>
      <w:pPr>
        <w:spacing w:after="120"/>
      </w:pPr>
    </w:p>
    <w:p>
      <w:pPr>
        <w:spacing w:before="240" w:after="80"/>
      </w:pPr>
      <w:r>
        <w:rPr>
          <w:rFonts w:ascii="Arial" w:hAnsi="Arial"/>
          <w:b/>
          <w:color w:val="007A78"/>
          <w:sz w:val="24"/>
        </w:rPr>
        <w:t>3.2  Extending pm_project_task — Sprint Gates</w:t>
      </w:r>
    </w:p>
    <w:p>
      <w:pPr>
        <w:spacing w:before="0" w:after="120"/>
        <w:jc w:val="left"/>
      </w:pPr>
      <w:r>
        <w:rPr>
          <w:rFonts w:ascii="Arial" w:hAnsi="Arial"/>
          <w:b w:val="0"/>
          <w:i w:val="0"/>
          <w:color w:val="1F1F1F"/>
          <w:sz w:val="21"/>
        </w:rPr>
        <w:t>SPM's project task table is extended to represent Sprint Gates. One project task record per sprint, typed as a gate checkpoint.</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2736"/>
            <w:shd w:val="clear" w:color="auto" w:fill="007A78"/>
          </w:tcPr>
          <w:p>
            <w:pPr>
              <w:spacing w:before="80" w:after="80"/>
              <w:ind w:left="72"/>
            </w:pPr>
            <w:r>
              <w:rPr>
                <w:rFonts w:ascii="Arial" w:hAnsi="Arial"/>
                <w:b/>
                <w:color w:val="FFFFFF"/>
                <w:sz w:val="20"/>
              </w:rPr>
              <w:t>Extended Field</w:t>
            </w:r>
          </w:p>
        </w:tc>
        <w:tc>
          <w:tcPr>
            <w:tcW w:type="dxa" w:w="1872"/>
            <w:shd w:val="clear" w:color="auto" w:fill="007A78"/>
          </w:tcPr>
          <w:p>
            <w:pPr>
              <w:spacing w:before="80" w:after="80"/>
              <w:ind w:left="72"/>
            </w:pPr>
            <w:r>
              <w:rPr>
                <w:rFonts w:ascii="Arial" w:hAnsi="Arial"/>
                <w:b/>
                <w:color w:val="FFFFFF"/>
                <w:sz w:val="20"/>
              </w:rPr>
              <w:t>Type</w:t>
            </w:r>
          </w:p>
        </w:tc>
        <w:tc>
          <w:tcPr>
            <w:tcW w:type="dxa" w:w="4752"/>
            <w:shd w:val="clear" w:color="auto" w:fill="007A78"/>
          </w:tcPr>
          <w:p>
            <w:pPr>
              <w:spacing w:before="80" w:after="80"/>
              <w:ind w:left="72"/>
            </w:pPr>
            <w:r>
              <w:rPr>
                <w:rFonts w:ascii="Arial" w:hAnsi="Arial"/>
                <w:b/>
                <w:color w:val="FFFFFF"/>
                <w:sz w:val="20"/>
              </w:rPr>
              <w:t>Purpose</w:t>
            </w:r>
          </w:p>
        </w:tc>
      </w:tr>
      <w:tr>
        <w:tc>
          <w:tcPr>
            <w:tcW w:type="dxa" w:w="2736"/>
            <w:shd w:val="clear" w:color="auto" w:fill="F2F2F2"/>
          </w:tcPr>
          <w:p>
            <w:pPr>
              <w:spacing w:before="60" w:after="60"/>
              <w:ind w:left="72"/>
            </w:pPr>
            <w:r>
              <w:rPr>
                <w:rFonts w:ascii="Arial" w:hAnsi="Arial"/>
                <w:color w:val="1F1F1F"/>
                <w:sz w:val="19"/>
              </w:rPr>
              <w:t>u_ecs_task_type</w:t>
            </w:r>
          </w:p>
        </w:tc>
        <w:tc>
          <w:tcPr>
            <w:tcW w:type="dxa" w:w="1872"/>
            <w:shd w:val="clear" w:color="auto" w:fill="F2F2F2"/>
          </w:tcPr>
          <w:p>
            <w:pPr>
              <w:spacing w:before="60" w:after="60"/>
              <w:ind w:left="72"/>
            </w:pPr>
            <w:r>
              <w:rPr>
                <w:rFonts w:ascii="Arial" w:hAnsi="Arial"/>
                <w:color w:val="1F1F1F"/>
                <w:sz w:val="19"/>
              </w:rPr>
              <w:t>Choice</w:t>
            </w:r>
          </w:p>
        </w:tc>
        <w:tc>
          <w:tcPr>
            <w:tcW w:type="dxa" w:w="4752"/>
            <w:shd w:val="clear" w:color="auto" w:fill="F2F2F2"/>
          </w:tcPr>
          <w:p>
            <w:pPr>
              <w:spacing w:before="60" w:after="60"/>
              <w:ind w:left="72"/>
            </w:pPr>
            <w:r>
              <w:rPr>
                <w:rFonts w:ascii="Arial" w:hAnsi="Arial"/>
                <w:color w:val="1F1F1F"/>
                <w:sz w:val="19"/>
              </w:rPr>
              <w:t>Sprint Gate / Milestone / Action Item — filters gate records from normal tasks</w:t>
            </w:r>
          </w:p>
        </w:tc>
      </w:tr>
      <w:tr>
        <w:tc>
          <w:tcPr>
            <w:tcW w:type="dxa" w:w="2736"/>
            <w:shd w:val="clear" w:color="auto" w:fill="FFFFFF"/>
          </w:tcPr>
          <w:p>
            <w:pPr>
              <w:spacing w:before="60" w:after="60"/>
              <w:ind w:left="72"/>
            </w:pPr>
            <w:r>
              <w:rPr>
                <w:rFonts w:ascii="Arial" w:hAnsi="Arial"/>
                <w:color w:val="1F1F1F"/>
                <w:sz w:val="19"/>
              </w:rPr>
              <w:t>u_ecs_sprint_number</w:t>
            </w:r>
          </w:p>
        </w:tc>
        <w:tc>
          <w:tcPr>
            <w:tcW w:type="dxa" w:w="1872"/>
            <w:shd w:val="clear" w:color="auto" w:fill="FFFFFF"/>
          </w:tcPr>
          <w:p>
            <w:pPr>
              <w:spacing w:before="60" w:after="60"/>
              <w:ind w:left="72"/>
            </w:pPr>
            <w:r>
              <w:rPr>
                <w:rFonts w:ascii="Arial" w:hAnsi="Arial"/>
                <w:color w:val="1F1F1F"/>
                <w:sz w:val="19"/>
              </w:rPr>
              <w:t>Choice (0–6)</w:t>
            </w:r>
          </w:p>
        </w:tc>
        <w:tc>
          <w:tcPr>
            <w:tcW w:type="dxa" w:w="4752"/>
            <w:shd w:val="clear" w:color="auto" w:fill="FFFFFF"/>
          </w:tcPr>
          <w:p>
            <w:pPr>
              <w:spacing w:before="60" w:after="60"/>
              <w:ind w:left="72"/>
            </w:pPr>
            <w:r>
              <w:rPr>
                <w:rFonts w:ascii="Arial" w:hAnsi="Arial"/>
                <w:color w:val="1F1F1F"/>
                <w:sz w:val="19"/>
              </w:rPr>
              <w:t>Which sprint this gate applies to</w:t>
            </w:r>
          </w:p>
        </w:tc>
      </w:tr>
      <w:tr>
        <w:tc>
          <w:tcPr>
            <w:tcW w:type="dxa" w:w="2736"/>
            <w:shd w:val="clear" w:color="auto" w:fill="F2F2F2"/>
          </w:tcPr>
          <w:p>
            <w:pPr>
              <w:spacing w:before="60" w:after="60"/>
              <w:ind w:left="72"/>
            </w:pPr>
            <w:r>
              <w:rPr>
                <w:rFonts w:ascii="Arial" w:hAnsi="Arial"/>
                <w:color w:val="1F1F1F"/>
                <w:sz w:val="19"/>
              </w:rPr>
              <w:t>u_ecs_stories_committed</w:t>
            </w:r>
          </w:p>
        </w:tc>
        <w:tc>
          <w:tcPr>
            <w:tcW w:type="dxa" w:w="1872"/>
            <w:shd w:val="clear" w:color="auto" w:fill="F2F2F2"/>
          </w:tcPr>
          <w:p>
            <w:pPr>
              <w:spacing w:before="60" w:after="60"/>
              <w:ind w:left="72"/>
            </w:pPr>
            <w:r>
              <w:rPr>
                <w:rFonts w:ascii="Arial" w:hAnsi="Arial"/>
                <w:color w:val="1F1F1F"/>
                <w:sz w:val="19"/>
              </w:rPr>
              <w:t>Integer</w:t>
            </w:r>
          </w:p>
        </w:tc>
        <w:tc>
          <w:tcPr>
            <w:tcW w:type="dxa" w:w="4752"/>
            <w:shd w:val="clear" w:color="auto" w:fill="F2F2F2"/>
          </w:tcPr>
          <w:p>
            <w:pPr>
              <w:spacing w:before="60" w:after="60"/>
              <w:ind w:left="72"/>
            </w:pPr>
            <w:r>
              <w:rPr>
                <w:rFonts w:ascii="Arial" w:hAnsi="Arial"/>
                <w:color w:val="1F1F1F"/>
                <w:sz w:val="19"/>
              </w:rPr>
              <w:t>Captured at sprint start from Agile module</w:t>
            </w:r>
          </w:p>
        </w:tc>
      </w:tr>
      <w:tr>
        <w:tc>
          <w:tcPr>
            <w:tcW w:type="dxa" w:w="2736"/>
            <w:shd w:val="clear" w:color="auto" w:fill="FFFFFF"/>
          </w:tcPr>
          <w:p>
            <w:pPr>
              <w:spacing w:before="60" w:after="60"/>
              <w:ind w:left="72"/>
            </w:pPr>
            <w:r>
              <w:rPr>
                <w:rFonts w:ascii="Arial" w:hAnsi="Arial"/>
                <w:color w:val="1F1F1F"/>
                <w:sz w:val="19"/>
              </w:rPr>
              <w:t>u_ecs_stories_completed</w:t>
            </w:r>
          </w:p>
        </w:tc>
        <w:tc>
          <w:tcPr>
            <w:tcW w:type="dxa" w:w="1872"/>
            <w:shd w:val="clear" w:color="auto" w:fill="FFFFFF"/>
          </w:tcPr>
          <w:p>
            <w:pPr>
              <w:spacing w:before="60" w:after="60"/>
              <w:ind w:left="72"/>
            </w:pPr>
            <w:r>
              <w:rPr>
                <w:rFonts w:ascii="Arial" w:hAnsi="Arial"/>
                <w:color w:val="1F1F1F"/>
                <w:sz w:val="19"/>
              </w:rPr>
              <w:t>Calculated Int</w:t>
            </w:r>
          </w:p>
        </w:tc>
        <w:tc>
          <w:tcPr>
            <w:tcW w:type="dxa" w:w="4752"/>
            <w:shd w:val="clear" w:color="auto" w:fill="FFFFFF"/>
          </w:tcPr>
          <w:p>
            <w:pPr>
              <w:spacing w:before="60" w:after="60"/>
              <w:ind w:left="72"/>
            </w:pPr>
            <w:r>
              <w:rPr>
                <w:rFonts w:ascii="Arial" w:hAnsi="Arial"/>
                <w:color w:val="1F1F1F"/>
                <w:sz w:val="19"/>
              </w:rPr>
              <w:t>Live GlideRecord count from Agile stories for this sprint</w:t>
            </w:r>
          </w:p>
        </w:tc>
      </w:tr>
      <w:tr>
        <w:tc>
          <w:tcPr>
            <w:tcW w:type="dxa" w:w="2736"/>
            <w:shd w:val="clear" w:color="auto" w:fill="F2F2F2"/>
          </w:tcPr>
          <w:p>
            <w:pPr>
              <w:spacing w:before="60" w:after="60"/>
              <w:ind w:left="72"/>
            </w:pPr>
            <w:r>
              <w:rPr>
                <w:rFonts w:ascii="Arial" w:hAnsi="Arial"/>
                <w:color w:val="1F1F1F"/>
                <w:sz w:val="19"/>
              </w:rPr>
              <w:t>u_ecs_velocity_pct</w:t>
            </w:r>
          </w:p>
        </w:tc>
        <w:tc>
          <w:tcPr>
            <w:tcW w:type="dxa" w:w="1872"/>
            <w:shd w:val="clear" w:color="auto" w:fill="F2F2F2"/>
          </w:tcPr>
          <w:p>
            <w:pPr>
              <w:spacing w:before="60" w:after="60"/>
              <w:ind w:left="72"/>
            </w:pPr>
            <w:r>
              <w:rPr>
                <w:rFonts w:ascii="Arial" w:hAnsi="Arial"/>
                <w:color w:val="1F1F1F"/>
                <w:sz w:val="19"/>
              </w:rPr>
              <w:t>Calculated Dec</w:t>
            </w:r>
          </w:p>
        </w:tc>
        <w:tc>
          <w:tcPr>
            <w:tcW w:type="dxa" w:w="4752"/>
            <w:shd w:val="clear" w:color="auto" w:fill="F2F2F2"/>
          </w:tcPr>
          <w:p>
            <w:pPr>
              <w:spacing w:before="60" w:after="60"/>
              <w:ind w:left="72"/>
            </w:pPr>
            <w:r>
              <w:rPr>
                <w:rFonts w:ascii="Arial" w:hAnsi="Arial"/>
                <w:color w:val="1F1F1F"/>
                <w:sz w:val="19"/>
              </w:rPr>
              <w:t>Completed ÷ Committed × 100</w:t>
            </w:r>
          </w:p>
        </w:tc>
      </w:tr>
      <w:tr>
        <w:tc>
          <w:tcPr>
            <w:tcW w:type="dxa" w:w="2736"/>
            <w:shd w:val="clear" w:color="auto" w:fill="FFFFFF"/>
          </w:tcPr>
          <w:p>
            <w:pPr>
              <w:spacing w:before="60" w:after="60"/>
              <w:ind w:left="72"/>
            </w:pPr>
            <w:r>
              <w:rPr>
                <w:rFonts w:ascii="Arial" w:hAnsi="Arial"/>
                <w:color w:val="1F1F1F"/>
                <w:sz w:val="19"/>
              </w:rPr>
              <w:t>u_ecs_open_risks</w:t>
            </w:r>
          </w:p>
        </w:tc>
        <w:tc>
          <w:tcPr>
            <w:tcW w:type="dxa" w:w="1872"/>
            <w:shd w:val="clear" w:color="auto" w:fill="FFFFFF"/>
          </w:tcPr>
          <w:p>
            <w:pPr>
              <w:spacing w:before="60" w:after="60"/>
              <w:ind w:left="72"/>
            </w:pPr>
            <w:r>
              <w:rPr>
                <w:rFonts w:ascii="Arial" w:hAnsi="Arial"/>
                <w:color w:val="1F1F1F"/>
                <w:sz w:val="19"/>
              </w:rPr>
              <w:t>Calculated Int</w:t>
            </w:r>
          </w:p>
        </w:tc>
        <w:tc>
          <w:tcPr>
            <w:tcW w:type="dxa" w:w="4752"/>
            <w:shd w:val="clear" w:color="auto" w:fill="FFFFFF"/>
          </w:tcPr>
          <w:p>
            <w:pPr>
              <w:spacing w:before="60" w:after="60"/>
              <w:ind w:left="72"/>
            </w:pPr>
            <w:r>
              <w:rPr>
                <w:rFonts w:ascii="Arial" w:hAnsi="Arial"/>
                <w:color w:val="1F1F1F"/>
                <w:sz w:val="19"/>
              </w:rPr>
              <w:t>Count of open risk records for this sprint</w:t>
            </w:r>
          </w:p>
        </w:tc>
      </w:tr>
      <w:tr>
        <w:tc>
          <w:tcPr>
            <w:tcW w:type="dxa" w:w="2736"/>
            <w:shd w:val="clear" w:color="auto" w:fill="F2F2F2"/>
          </w:tcPr>
          <w:p>
            <w:pPr>
              <w:spacing w:before="60" w:after="60"/>
              <w:ind w:left="72"/>
            </w:pPr>
            <w:r>
              <w:rPr>
                <w:rFonts w:ascii="Arial" w:hAnsi="Arial"/>
                <w:color w:val="1F1F1F"/>
                <w:sz w:val="19"/>
              </w:rPr>
              <w:t>u_ecs_open_decisions</w:t>
            </w:r>
          </w:p>
        </w:tc>
        <w:tc>
          <w:tcPr>
            <w:tcW w:type="dxa" w:w="1872"/>
            <w:shd w:val="clear" w:color="auto" w:fill="F2F2F2"/>
          </w:tcPr>
          <w:p>
            <w:pPr>
              <w:spacing w:before="60" w:after="60"/>
              <w:ind w:left="72"/>
            </w:pPr>
            <w:r>
              <w:rPr>
                <w:rFonts w:ascii="Arial" w:hAnsi="Arial"/>
                <w:color w:val="1F1F1F"/>
                <w:sz w:val="19"/>
              </w:rPr>
              <w:t>Calculated Int</w:t>
            </w:r>
          </w:p>
        </w:tc>
        <w:tc>
          <w:tcPr>
            <w:tcW w:type="dxa" w:w="4752"/>
            <w:shd w:val="clear" w:color="auto" w:fill="F2F2F2"/>
          </w:tcPr>
          <w:p>
            <w:pPr>
              <w:spacing w:before="60" w:after="60"/>
              <w:ind w:left="72"/>
            </w:pPr>
            <w:r>
              <w:rPr>
                <w:rFonts w:ascii="Arial" w:hAnsi="Arial"/>
                <w:color w:val="1F1F1F"/>
                <w:sz w:val="19"/>
              </w:rPr>
              <w:t>Count of open decision records for this sprint</w:t>
            </w:r>
          </w:p>
        </w:tc>
      </w:tr>
      <w:tr>
        <w:tc>
          <w:tcPr>
            <w:tcW w:type="dxa" w:w="2736"/>
            <w:shd w:val="clear" w:color="auto" w:fill="FFFFFF"/>
          </w:tcPr>
          <w:p>
            <w:pPr>
              <w:spacing w:before="60" w:after="60"/>
              <w:ind w:left="72"/>
            </w:pPr>
            <w:r>
              <w:rPr>
                <w:rFonts w:ascii="Arial" w:hAnsi="Arial"/>
                <w:color w:val="1F1F1F"/>
                <w:sz w:val="19"/>
              </w:rPr>
              <w:t>u_ecs_gate_status</w:t>
            </w:r>
          </w:p>
        </w:tc>
        <w:tc>
          <w:tcPr>
            <w:tcW w:type="dxa" w:w="1872"/>
            <w:shd w:val="clear" w:color="auto" w:fill="FFFFFF"/>
          </w:tcPr>
          <w:p>
            <w:pPr>
              <w:spacing w:before="60" w:after="60"/>
              <w:ind w:left="72"/>
            </w:pPr>
            <w:r>
              <w:rPr>
                <w:rFonts w:ascii="Arial" w:hAnsi="Arial"/>
                <w:color w:val="1F1F1F"/>
                <w:sz w:val="19"/>
              </w:rPr>
              <w:t>Choice</w:t>
            </w:r>
          </w:p>
        </w:tc>
        <w:tc>
          <w:tcPr>
            <w:tcW w:type="dxa" w:w="4752"/>
            <w:shd w:val="clear" w:color="auto" w:fill="FFFFFF"/>
          </w:tcPr>
          <w:p>
            <w:pPr>
              <w:spacing w:before="60" w:after="60"/>
              <w:ind w:left="72"/>
            </w:pPr>
            <w:r>
              <w:rPr>
                <w:rFonts w:ascii="Arial" w:hAnsi="Arial"/>
                <w:color w:val="1F1F1F"/>
                <w:sz w:val="19"/>
              </w:rPr>
              <w:t>Open / At Risk / Passed / Failed</w:t>
            </w:r>
          </w:p>
        </w:tc>
      </w:tr>
      <w:tr>
        <w:tc>
          <w:tcPr>
            <w:tcW w:type="dxa" w:w="2736"/>
            <w:shd w:val="clear" w:color="auto" w:fill="F2F2F2"/>
          </w:tcPr>
          <w:p>
            <w:pPr>
              <w:spacing w:before="60" w:after="60"/>
              <w:ind w:left="72"/>
            </w:pPr>
            <w:r>
              <w:rPr>
                <w:rFonts w:ascii="Arial" w:hAnsi="Arial"/>
                <w:color w:val="1F1F1F"/>
                <w:sz w:val="19"/>
              </w:rPr>
              <w:t>u_ecs_signoff_user</w:t>
            </w:r>
          </w:p>
        </w:tc>
        <w:tc>
          <w:tcPr>
            <w:tcW w:type="dxa" w:w="1872"/>
            <w:shd w:val="clear" w:color="auto" w:fill="F2F2F2"/>
          </w:tcPr>
          <w:p>
            <w:pPr>
              <w:spacing w:before="60" w:after="60"/>
              <w:ind w:left="72"/>
            </w:pPr>
            <w:r>
              <w:rPr>
                <w:rFonts w:ascii="Arial" w:hAnsi="Arial"/>
                <w:color w:val="1F1F1F"/>
                <w:sz w:val="19"/>
              </w:rPr>
              <w:t>Reference → User</w:t>
            </w:r>
          </w:p>
        </w:tc>
        <w:tc>
          <w:tcPr>
            <w:tcW w:type="dxa" w:w="4752"/>
            <w:shd w:val="clear" w:color="auto" w:fill="F2F2F2"/>
          </w:tcPr>
          <w:p>
            <w:pPr>
              <w:spacing w:before="60" w:after="60"/>
              <w:ind w:left="72"/>
            </w:pPr>
            <w:r>
              <w:rPr>
                <w:rFonts w:ascii="Arial" w:hAnsi="Arial"/>
                <w:color w:val="1F1F1F"/>
                <w:sz w:val="19"/>
              </w:rPr>
              <w:t>Customer sign-off on gate completion</w:t>
            </w:r>
          </w:p>
        </w:tc>
      </w:tr>
      <w:tr>
        <w:tc>
          <w:tcPr>
            <w:tcW w:type="dxa" w:w="2736"/>
            <w:shd w:val="clear" w:color="auto" w:fill="FFFFFF"/>
          </w:tcPr>
          <w:p>
            <w:pPr>
              <w:spacing w:before="60" w:after="60"/>
              <w:ind w:left="72"/>
            </w:pPr>
            <w:r>
              <w:rPr>
                <w:rFonts w:ascii="Arial" w:hAnsi="Arial"/>
                <w:color w:val="1F1F1F"/>
                <w:sz w:val="19"/>
              </w:rPr>
              <w:t>u_ecs_signoff_date</w:t>
            </w:r>
          </w:p>
        </w:tc>
        <w:tc>
          <w:tcPr>
            <w:tcW w:type="dxa" w:w="1872"/>
            <w:shd w:val="clear" w:color="auto" w:fill="FFFFFF"/>
          </w:tcPr>
          <w:p>
            <w:pPr>
              <w:spacing w:before="60" w:after="60"/>
              <w:ind w:left="72"/>
            </w:pPr>
            <w:r>
              <w:rPr>
                <w:rFonts w:ascii="Arial" w:hAnsi="Arial"/>
                <w:color w:val="1F1F1F"/>
                <w:sz w:val="19"/>
              </w:rPr>
              <w:t>Date</w:t>
            </w:r>
          </w:p>
        </w:tc>
        <w:tc>
          <w:tcPr>
            <w:tcW w:type="dxa" w:w="4752"/>
            <w:shd w:val="clear" w:color="auto" w:fill="FFFFFF"/>
          </w:tcPr>
          <w:p>
            <w:pPr>
              <w:spacing w:before="60" w:after="60"/>
              <w:ind w:left="72"/>
            </w:pPr>
            <w:r>
              <w:rPr>
                <w:rFonts w:ascii="Arial" w:hAnsi="Arial"/>
                <w:color w:val="1F1F1F"/>
                <w:sz w:val="19"/>
              </w:rPr>
              <w:t>When gate was formally approved</w:t>
            </w:r>
          </w:p>
        </w:tc>
      </w:tr>
    </w:tbl>
    <w:p>
      <w:pPr>
        <w:spacing w:after="120"/>
      </w:pPr>
    </w:p>
    <w:p>
      <w:pPr>
        <w:spacing w:before="240" w:after="80"/>
      </w:pPr>
      <w:r>
        <w:rPr>
          <w:rFonts w:ascii="Arial" w:hAnsi="Arial"/>
          <w:b/>
          <w:color w:val="007A78"/>
          <w:sz w:val="24"/>
        </w:rPr>
        <w:t>3.3  Extending sn_risk_risk — Risk &amp; Issue Register</w:t>
      </w:r>
    </w:p>
    <w:p>
      <w:pPr>
        <w:spacing w:before="0" w:after="120"/>
        <w:jc w:val="left"/>
      </w:pPr>
      <w:r>
        <w:rPr>
          <w:rFonts w:ascii="Arial" w:hAnsi="Arial"/>
          <w:b w:val="0"/>
          <w:i w:val="0"/>
          <w:color w:val="1F1F1F"/>
          <w:sz w:val="21"/>
        </w:rPr>
        <w:t>ServiceNow's native Risk Management table [sn_risk_risk] is extended to capture delivery-specific risks and issues. If the customer does not have GRC Risk Management licensed, a lightweight fallback extends the base Task table instead.</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2736"/>
            <w:shd w:val="clear" w:color="auto" w:fill="007A78"/>
          </w:tcPr>
          <w:p>
            <w:pPr>
              <w:spacing w:before="80" w:after="80"/>
              <w:ind w:left="72"/>
            </w:pPr>
            <w:r>
              <w:rPr>
                <w:rFonts w:ascii="Arial" w:hAnsi="Arial"/>
                <w:b/>
                <w:color w:val="FFFFFF"/>
                <w:sz w:val="20"/>
              </w:rPr>
              <w:t>Extended Field</w:t>
            </w:r>
          </w:p>
        </w:tc>
        <w:tc>
          <w:tcPr>
            <w:tcW w:type="dxa" w:w="1872"/>
            <w:shd w:val="clear" w:color="auto" w:fill="007A78"/>
          </w:tcPr>
          <w:p>
            <w:pPr>
              <w:spacing w:before="80" w:after="80"/>
              <w:ind w:left="72"/>
            </w:pPr>
            <w:r>
              <w:rPr>
                <w:rFonts w:ascii="Arial" w:hAnsi="Arial"/>
                <w:b/>
                <w:color w:val="FFFFFF"/>
                <w:sz w:val="20"/>
              </w:rPr>
              <w:t>Type</w:t>
            </w:r>
          </w:p>
        </w:tc>
        <w:tc>
          <w:tcPr>
            <w:tcW w:type="dxa" w:w="4752"/>
            <w:shd w:val="clear" w:color="auto" w:fill="007A78"/>
          </w:tcPr>
          <w:p>
            <w:pPr>
              <w:spacing w:before="80" w:after="80"/>
              <w:ind w:left="72"/>
            </w:pPr>
            <w:r>
              <w:rPr>
                <w:rFonts w:ascii="Arial" w:hAnsi="Arial"/>
                <w:b/>
                <w:color w:val="FFFFFF"/>
                <w:sz w:val="20"/>
              </w:rPr>
              <w:t>Purpose</w:t>
            </w:r>
          </w:p>
        </w:tc>
      </w:tr>
      <w:tr>
        <w:tc>
          <w:tcPr>
            <w:tcW w:type="dxa" w:w="2736"/>
            <w:shd w:val="clear" w:color="auto" w:fill="F2F2F2"/>
          </w:tcPr>
          <w:p>
            <w:pPr>
              <w:spacing w:before="60" w:after="60"/>
              <w:ind w:left="72"/>
            </w:pPr>
            <w:r>
              <w:rPr>
                <w:rFonts w:ascii="Arial" w:hAnsi="Arial"/>
                <w:color w:val="1F1F1F"/>
                <w:sz w:val="19"/>
              </w:rPr>
              <w:t>u_ecs_risk_type</w:t>
            </w:r>
          </w:p>
        </w:tc>
        <w:tc>
          <w:tcPr>
            <w:tcW w:type="dxa" w:w="1872"/>
            <w:shd w:val="clear" w:color="auto" w:fill="F2F2F2"/>
          </w:tcPr>
          <w:p>
            <w:pPr>
              <w:spacing w:before="60" w:after="60"/>
              <w:ind w:left="72"/>
            </w:pPr>
            <w:r>
              <w:rPr>
                <w:rFonts w:ascii="Arial" w:hAnsi="Arial"/>
                <w:color w:val="1F1F1F"/>
                <w:sz w:val="19"/>
              </w:rPr>
              <w:t>Choice: Risk/Issue</w:t>
            </w:r>
          </w:p>
        </w:tc>
        <w:tc>
          <w:tcPr>
            <w:tcW w:type="dxa" w:w="4752"/>
            <w:shd w:val="clear" w:color="auto" w:fill="F2F2F2"/>
          </w:tcPr>
          <w:p>
            <w:pPr>
              <w:spacing w:before="60" w:after="60"/>
              <w:ind w:left="72"/>
            </w:pPr>
            <w:r>
              <w:rPr>
                <w:rFonts w:ascii="Arial" w:hAnsi="Arial"/>
                <w:color w:val="1F1F1F"/>
                <w:sz w:val="19"/>
              </w:rPr>
              <w:t>Distinguishes proactive risk from active issue</w:t>
            </w:r>
          </w:p>
        </w:tc>
      </w:tr>
      <w:tr>
        <w:tc>
          <w:tcPr>
            <w:tcW w:type="dxa" w:w="2736"/>
            <w:shd w:val="clear" w:color="auto" w:fill="FFFFFF"/>
          </w:tcPr>
          <w:p>
            <w:pPr>
              <w:spacing w:before="60" w:after="60"/>
              <w:ind w:left="72"/>
            </w:pPr>
            <w:r>
              <w:rPr>
                <w:rFonts w:ascii="Arial" w:hAnsi="Arial"/>
                <w:color w:val="1F1F1F"/>
                <w:sz w:val="19"/>
              </w:rPr>
              <w:t>u_ecs_engagement</w:t>
            </w:r>
          </w:p>
        </w:tc>
        <w:tc>
          <w:tcPr>
            <w:tcW w:type="dxa" w:w="1872"/>
            <w:shd w:val="clear" w:color="auto" w:fill="FFFFFF"/>
          </w:tcPr>
          <w:p>
            <w:pPr>
              <w:spacing w:before="60" w:after="60"/>
              <w:ind w:left="72"/>
            </w:pPr>
            <w:r>
              <w:rPr>
                <w:rFonts w:ascii="Arial" w:hAnsi="Arial"/>
                <w:color w:val="1F1F1F"/>
                <w:sz w:val="19"/>
              </w:rPr>
              <w:t>Reference → pm_project</w:t>
            </w:r>
          </w:p>
        </w:tc>
        <w:tc>
          <w:tcPr>
            <w:tcW w:type="dxa" w:w="4752"/>
            <w:shd w:val="clear" w:color="auto" w:fill="FFFFFF"/>
          </w:tcPr>
          <w:p>
            <w:pPr>
              <w:spacing w:before="60" w:after="60"/>
              <w:ind w:left="72"/>
            </w:pPr>
            <w:r>
              <w:rPr>
                <w:rFonts w:ascii="Arial" w:hAnsi="Arial"/>
                <w:color w:val="1F1F1F"/>
                <w:sz w:val="19"/>
              </w:rPr>
              <w:t>Links risk to the engagement</w:t>
            </w:r>
          </w:p>
        </w:tc>
      </w:tr>
      <w:tr>
        <w:tc>
          <w:tcPr>
            <w:tcW w:type="dxa" w:w="2736"/>
            <w:shd w:val="clear" w:color="auto" w:fill="F2F2F2"/>
          </w:tcPr>
          <w:p>
            <w:pPr>
              <w:spacing w:before="60" w:after="60"/>
              <w:ind w:left="72"/>
            </w:pPr>
            <w:r>
              <w:rPr>
                <w:rFonts w:ascii="Arial" w:hAnsi="Arial"/>
                <w:color w:val="1F1F1F"/>
                <w:sz w:val="19"/>
              </w:rPr>
              <w:t>u_ecs_sprint_gate</w:t>
            </w:r>
          </w:p>
        </w:tc>
        <w:tc>
          <w:tcPr>
            <w:tcW w:type="dxa" w:w="1872"/>
            <w:shd w:val="clear" w:color="auto" w:fill="F2F2F2"/>
          </w:tcPr>
          <w:p>
            <w:pPr>
              <w:spacing w:before="60" w:after="60"/>
              <w:ind w:left="72"/>
            </w:pPr>
            <w:r>
              <w:rPr>
                <w:rFonts w:ascii="Arial" w:hAnsi="Arial"/>
                <w:color w:val="1F1F1F"/>
                <w:sz w:val="19"/>
              </w:rPr>
              <w:t>Reference → pm_project_task</w:t>
            </w:r>
          </w:p>
        </w:tc>
        <w:tc>
          <w:tcPr>
            <w:tcW w:type="dxa" w:w="4752"/>
            <w:shd w:val="clear" w:color="auto" w:fill="F2F2F2"/>
          </w:tcPr>
          <w:p>
            <w:pPr>
              <w:spacing w:before="60" w:after="60"/>
              <w:ind w:left="72"/>
            </w:pPr>
            <w:r>
              <w:rPr>
                <w:rFonts w:ascii="Arial" w:hAnsi="Arial"/>
                <w:color w:val="1F1F1F"/>
                <w:sz w:val="19"/>
              </w:rPr>
              <w:t>Sprint in which risk was raised</w:t>
            </w:r>
          </w:p>
        </w:tc>
      </w:tr>
      <w:tr>
        <w:tc>
          <w:tcPr>
            <w:tcW w:type="dxa" w:w="2736"/>
            <w:shd w:val="clear" w:color="auto" w:fill="FFFFFF"/>
          </w:tcPr>
          <w:p>
            <w:pPr>
              <w:spacing w:before="60" w:after="60"/>
              <w:ind w:left="72"/>
            </w:pPr>
            <w:r>
              <w:rPr>
                <w:rFonts w:ascii="Arial" w:hAnsi="Arial"/>
                <w:color w:val="1F1F1F"/>
                <w:sz w:val="19"/>
              </w:rPr>
              <w:t>u_ecs_workstream</w:t>
            </w:r>
          </w:p>
        </w:tc>
        <w:tc>
          <w:tcPr>
            <w:tcW w:type="dxa" w:w="1872"/>
            <w:shd w:val="clear" w:color="auto" w:fill="FFFFFF"/>
          </w:tcPr>
          <w:p>
            <w:pPr>
              <w:spacing w:before="60" w:after="60"/>
              <w:ind w:left="72"/>
            </w:pPr>
            <w:r>
              <w:rPr>
                <w:rFonts w:ascii="Arial" w:hAnsi="Arial"/>
                <w:color w:val="1F1F1F"/>
                <w:sz w:val="19"/>
              </w:rPr>
              <w:t>Choice</w:t>
            </w:r>
          </w:p>
        </w:tc>
        <w:tc>
          <w:tcPr>
            <w:tcW w:type="dxa" w:w="4752"/>
            <w:shd w:val="clear" w:color="auto" w:fill="FFFFFF"/>
          </w:tcPr>
          <w:p>
            <w:pPr>
              <w:spacing w:before="60" w:after="60"/>
              <w:ind w:left="72"/>
            </w:pPr>
            <w:r>
              <w:rPr>
                <w:rFonts w:ascii="Arial" w:hAnsi="Arial"/>
                <w:color w:val="1F1F1F"/>
                <w:sz w:val="19"/>
              </w:rPr>
              <w:t>ITSM, CMDB, HAM, Catalog, VA, Platform, etc.</w:t>
            </w:r>
          </w:p>
        </w:tc>
      </w:tr>
      <w:tr>
        <w:tc>
          <w:tcPr>
            <w:tcW w:type="dxa" w:w="2736"/>
            <w:shd w:val="clear" w:color="auto" w:fill="F2F2F2"/>
          </w:tcPr>
          <w:p>
            <w:pPr>
              <w:spacing w:before="60" w:after="60"/>
              <w:ind w:left="72"/>
            </w:pPr>
            <w:r>
              <w:rPr>
                <w:rFonts w:ascii="Arial" w:hAnsi="Arial"/>
                <w:color w:val="1F1F1F"/>
                <w:sz w:val="19"/>
              </w:rPr>
              <w:t>u_ecs_health_impact</w:t>
            </w:r>
          </w:p>
        </w:tc>
        <w:tc>
          <w:tcPr>
            <w:tcW w:type="dxa" w:w="1872"/>
            <w:shd w:val="clear" w:color="auto" w:fill="F2F2F2"/>
          </w:tcPr>
          <w:p>
            <w:pPr>
              <w:spacing w:before="60" w:after="60"/>
              <w:ind w:left="72"/>
            </w:pPr>
            <w:r>
              <w:rPr>
                <w:rFonts w:ascii="Arial" w:hAnsi="Arial"/>
                <w:color w:val="1F1F1F"/>
                <w:sz w:val="19"/>
              </w:rPr>
              <w:t>Choice: Low/Med/High</w:t>
            </w:r>
          </w:p>
        </w:tc>
        <w:tc>
          <w:tcPr>
            <w:tcW w:type="dxa" w:w="4752"/>
            <w:shd w:val="clear" w:color="auto" w:fill="F2F2F2"/>
          </w:tcPr>
          <w:p>
            <w:pPr>
              <w:spacing w:before="60" w:after="60"/>
              <w:ind w:left="72"/>
            </w:pPr>
            <w:r>
              <w:rPr>
                <w:rFonts w:ascii="Arial" w:hAnsi="Arial"/>
                <w:color w:val="1F1F1F"/>
                <w:sz w:val="19"/>
              </w:rPr>
              <w:t>How this risk affects the health score</w:t>
            </w:r>
          </w:p>
        </w:tc>
      </w:tr>
    </w:tbl>
    <w:p>
      <w:pPr>
        <w:spacing w:after="120"/>
      </w:pPr>
    </w:p>
    <w:p>
      <w:pPr>
        <w:spacing w:before="240" w:after="80"/>
      </w:pPr>
      <w:r>
        <w:rPr>
          <w:rFonts w:ascii="Arial" w:hAnsi="Arial"/>
          <w:b/>
          <w:color w:val="007A78"/>
          <w:sz w:val="24"/>
        </w:rPr>
        <w:t>3.4  Extending kb_knowledge — Methodology Content</w:t>
      </w:r>
    </w:p>
    <w:p>
      <w:pPr>
        <w:spacing w:before="0" w:after="120"/>
        <w:jc w:val="left"/>
      </w:pPr>
      <w:r>
        <w:rPr>
          <w:rFonts w:ascii="Arial" w:hAnsi="Arial"/>
          <w:b w:val="0"/>
          <w:i w:val="0"/>
          <w:color w:val="1F1F1F"/>
          <w:sz w:val="21"/>
        </w:rPr>
        <w:t>The Knowledge Base table is extended to tag existing articles and new methodology content with delivery-specific metadata. This surfaces the right article on the right portal page for the right role without creating a separate content system.</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2736"/>
            <w:shd w:val="clear" w:color="auto" w:fill="007A78"/>
          </w:tcPr>
          <w:p>
            <w:pPr>
              <w:spacing w:before="80" w:after="80"/>
              <w:ind w:left="72"/>
            </w:pPr>
            <w:r>
              <w:rPr>
                <w:rFonts w:ascii="Arial" w:hAnsi="Arial"/>
                <w:b/>
                <w:color w:val="FFFFFF"/>
                <w:sz w:val="20"/>
              </w:rPr>
              <w:t>Extended Field</w:t>
            </w:r>
          </w:p>
        </w:tc>
        <w:tc>
          <w:tcPr>
            <w:tcW w:type="dxa" w:w="1872"/>
            <w:shd w:val="clear" w:color="auto" w:fill="007A78"/>
          </w:tcPr>
          <w:p>
            <w:pPr>
              <w:spacing w:before="80" w:after="80"/>
              <w:ind w:left="72"/>
            </w:pPr>
            <w:r>
              <w:rPr>
                <w:rFonts w:ascii="Arial" w:hAnsi="Arial"/>
                <w:b/>
                <w:color w:val="FFFFFF"/>
                <w:sz w:val="20"/>
              </w:rPr>
              <w:t>Type</w:t>
            </w:r>
          </w:p>
        </w:tc>
        <w:tc>
          <w:tcPr>
            <w:tcW w:type="dxa" w:w="4752"/>
            <w:shd w:val="clear" w:color="auto" w:fill="007A78"/>
          </w:tcPr>
          <w:p>
            <w:pPr>
              <w:spacing w:before="80" w:after="80"/>
              <w:ind w:left="72"/>
            </w:pPr>
            <w:r>
              <w:rPr>
                <w:rFonts w:ascii="Arial" w:hAnsi="Arial"/>
                <w:b/>
                <w:color w:val="FFFFFF"/>
                <w:sz w:val="20"/>
              </w:rPr>
              <w:t>Purpose</w:t>
            </w:r>
          </w:p>
        </w:tc>
      </w:tr>
      <w:tr>
        <w:tc>
          <w:tcPr>
            <w:tcW w:type="dxa" w:w="2736"/>
            <w:shd w:val="clear" w:color="auto" w:fill="F2F2F2"/>
          </w:tcPr>
          <w:p>
            <w:pPr>
              <w:spacing w:before="60" w:after="60"/>
              <w:ind w:left="72"/>
            </w:pPr>
            <w:r>
              <w:rPr>
                <w:rFonts w:ascii="Arial" w:hAnsi="Arial"/>
                <w:color w:val="1F1F1F"/>
                <w:sz w:val="19"/>
              </w:rPr>
              <w:t>u_ecs_content_type</w:t>
            </w:r>
          </w:p>
        </w:tc>
        <w:tc>
          <w:tcPr>
            <w:tcW w:type="dxa" w:w="1872"/>
            <w:shd w:val="clear" w:color="auto" w:fill="F2F2F2"/>
          </w:tcPr>
          <w:p>
            <w:pPr>
              <w:spacing w:before="60" w:after="60"/>
              <w:ind w:left="72"/>
            </w:pPr>
            <w:r>
              <w:rPr>
                <w:rFonts w:ascii="Arial" w:hAnsi="Arial"/>
                <w:color w:val="1F1F1F"/>
                <w:sz w:val="19"/>
              </w:rPr>
              <w:t>Choice</w:t>
            </w:r>
          </w:p>
        </w:tc>
        <w:tc>
          <w:tcPr>
            <w:tcW w:type="dxa" w:w="4752"/>
            <w:shd w:val="clear" w:color="auto" w:fill="F2F2F2"/>
          </w:tcPr>
          <w:p>
            <w:pPr>
              <w:spacing w:before="60" w:after="60"/>
              <w:ind w:left="72"/>
            </w:pPr>
            <w:r>
              <w:rPr>
                <w:rFonts w:ascii="Arial" w:hAnsi="Arial"/>
                <w:color w:val="1F1F1F"/>
                <w:sz w:val="19"/>
              </w:rPr>
              <w:t>How-To Guide / Accelerator Pack / Decision Guide / Workshop Pre-Read / Cheatsheet</w:t>
            </w:r>
          </w:p>
        </w:tc>
      </w:tr>
      <w:tr>
        <w:tc>
          <w:tcPr>
            <w:tcW w:type="dxa" w:w="2736"/>
            <w:shd w:val="clear" w:color="auto" w:fill="FFFFFF"/>
          </w:tcPr>
          <w:p>
            <w:pPr>
              <w:spacing w:before="60" w:after="60"/>
              <w:ind w:left="72"/>
            </w:pPr>
            <w:r>
              <w:rPr>
                <w:rFonts w:ascii="Arial" w:hAnsi="Arial"/>
                <w:color w:val="1F1F1F"/>
                <w:sz w:val="19"/>
              </w:rPr>
              <w:t>u_ecs_target_role</w:t>
            </w:r>
          </w:p>
        </w:tc>
        <w:tc>
          <w:tcPr>
            <w:tcW w:type="dxa" w:w="1872"/>
            <w:shd w:val="clear" w:color="auto" w:fill="FFFFFF"/>
          </w:tcPr>
          <w:p>
            <w:pPr>
              <w:spacing w:before="60" w:after="60"/>
              <w:ind w:left="72"/>
            </w:pPr>
            <w:r>
              <w:rPr>
                <w:rFonts w:ascii="Arial" w:hAnsi="Arial"/>
                <w:color w:val="1F1F1F"/>
                <w:sz w:val="19"/>
              </w:rPr>
              <w:t>Choice (multi)</w:t>
            </w:r>
          </w:p>
        </w:tc>
        <w:tc>
          <w:tcPr>
            <w:tcW w:type="dxa" w:w="4752"/>
            <w:shd w:val="clear" w:color="auto" w:fill="FFFFFF"/>
          </w:tcPr>
          <w:p>
            <w:pPr>
              <w:spacing w:before="60" w:after="60"/>
              <w:ind w:left="72"/>
            </w:pPr>
            <w:r>
              <w:rPr>
                <w:rFonts w:ascii="Arial" w:hAnsi="Arial"/>
                <w:color w:val="1F1F1F"/>
                <w:sz w:val="19"/>
              </w:rPr>
              <w:t>Delivery Manager / Architect / Consultant / Customer Sponsor / Process Owner</w:t>
            </w:r>
          </w:p>
        </w:tc>
      </w:tr>
      <w:tr>
        <w:tc>
          <w:tcPr>
            <w:tcW w:type="dxa" w:w="2736"/>
            <w:shd w:val="clear" w:color="auto" w:fill="F2F2F2"/>
          </w:tcPr>
          <w:p>
            <w:pPr>
              <w:spacing w:before="60" w:after="60"/>
              <w:ind w:left="72"/>
            </w:pPr>
            <w:r>
              <w:rPr>
                <w:rFonts w:ascii="Arial" w:hAnsi="Arial"/>
                <w:color w:val="1F1F1F"/>
                <w:sz w:val="19"/>
              </w:rPr>
              <w:t>u_ecs_applicable_sprint</w:t>
            </w:r>
          </w:p>
        </w:tc>
        <w:tc>
          <w:tcPr>
            <w:tcW w:type="dxa" w:w="1872"/>
            <w:shd w:val="clear" w:color="auto" w:fill="F2F2F2"/>
          </w:tcPr>
          <w:p>
            <w:pPr>
              <w:spacing w:before="60" w:after="60"/>
              <w:ind w:left="72"/>
            </w:pPr>
            <w:r>
              <w:rPr>
                <w:rFonts w:ascii="Arial" w:hAnsi="Arial"/>
                <w:color w:val="1F1F1F"/>
                <w:sz w:val="19"/>
              </w:rPr>
              <w:t>Choice (multi)</w:t>
            </w:r>
          </w:p>
        </w:tc>
        <w:tc>
          <w:tcPr>
            <w:tcW w:type="dxa" w:w="4752"/>
            <w:shd w:val="clear" w:color="auto" w:fill="F2F2F2"/>
          </w:tcPr>
          <w:p>
            <w:pPr>
              <w:spacing w:before="60" w:after="60"/>
              <w:ind w:left="72"/>
            </w:pPr>
            <w:r>
              <w:rPr>
                <w:rFonts w:ascii="Arial" w:hAnsi="Arial"/>
                <w:color w:val="1F1F1F"/>
                <w:sz w:val="19"/>
              </w:rPr>
              <w:t>Sprint 0 / 1 / 2 / 3 / 4 / 5 / 6 / Hypercare</w:t>
            </w:r>
          </w:p>
        </w:tc>
      </w:tr>
      <w:tr>
        <w:tc>
          <w:tcPr>
            <w:tcW w:type="dxa" w:w="2736"/>
            <w:shd w:val="clear" w:color="auto" w:fill="FFFFFF"/>
          </w:tcPr>
          <w:p>
            <w:pPr>
              <w:spacing w:before="60" w:after="60"/>
              <w:ind w:left="72"/>
            </w:pPr>
            <w:r>
              <w:rPr>
                <w:rFonts w:ascii="Arial" w:hAnsi="Arial"/>
                <w:color w:val="1F1F1F"/>
                <w:sz w:val="19"/>
              </w:rPr>
              <w:t>u_ecs_workstream</w:t>
            </w:r>
          </w:p>
        </w:tc>
        <w:tc>
          <w:tcPr>
            <w:tcW w:type="dxa" w:w="1872"/>
            <w:shd w:val="clear" w:color="auto" w:fill="FFFFFF"/>
          </w:tcPr>
          <w:p>
            <w:pPr>
              <w:spacing w:before="60" w:after="60"/>
              <w:ind w:left="72"/>
            </w:pPr>
            <w:r>
              <w:rPr>
                <w:rFonts w:ascii="Arial" w:hAnsi="Arial"/>
                <w:color w:val="1F1F1F"/>
                <w:sz w:val="19"/>
              </w:rPr>
              <w:t>Choice (multi)</w:t>
            </w:r>
          </w:p>
        </w:tc>
        <w:tc>
          <w:tcPr>
            <w:tcW w:type="dxa" w:w="4752"/>
            <w:shd w:val="clear" w:color="auto" w:fill="FFFFFF"/>
          </w:tcPr>
          <w:p>
            <w:pPr>
              <w:spacing w:before="60" w:after="60"/>
              <w:ind w:left="72"/>
            </w:pPr>
            <w:r>
              <w:rPr>
                <w:rFonts w:ascii="Arial" w:hAnsi="Arial"/>
                <w:color w:val="1F1F1F"/>
                <w:sz w:val="19"/>
              </w:rPr>
              <w:t>Which workstreams this content applies to</w:t>
            </w:r>
          </w:p>
        </w:tc>
      </w:tr>
      <w:tr>
        <w:tc>
          <w:tcPr>
            <w:tcW w:type="dxa" w:w="2736"/>
            <w:shd w:val="clear" w:color="auto" w:fill="F2F2F2"/>
          </w:tcPr>
          <w:p>
            <w:pPr>
              <w:spacing w:before="60" w:after="60"/>
              <w:ind w:left="72"/>
            </w:pPr>
            <w:r>
              <w:rPr>
                <w:rFonts w:ascii="Arial" w:hAnsi="Arial"/>
                <w:color w:val="1F1F1F"/>
                <w:sz w:val="19"/>
              </w:rPr>
              <w:t>u_ecs_audience</w:t>
            </w:r>
          </w:p>
        </w:tc>
        <w:tc>
          <w:tcPr>
            <w:tcW w:type="dxa" w:w="1872"/>
            <w:shd w:val="clear" w:color="auto" w:fill="F2F2F2"/>
          </w:tcPr>
          <w:p>
            <w:pPr>
              <w:spacing w:before="60" w:after="60"/>
              <w:ind w:left="72"/>
            </w:pPr>
            <w:r>
              <w:rPr>
                <w:rFonts w:ascii="Arial" w:hAnsi="Arial"/>
                <w:color w:val="1F1F1F"/>
                <w:sz w:val="19"/>
              </w:rPr>
              <w:t>Choice</w:t>
            </w:r>
          </w:p>
        </w:tc>
        <w:tc>
          <w:tcPr>
            <w:tcW w:type="dxa" w:w="4752"/>
            <w:shd w:val="clear" w:color="auto" w:fill="F2F2F2"/>
          </w:tcPr>
          <w:p>
            <w:pPr>
              <w:spacing w:before="60" w:after="60"/>
              <w:ind w:left="72"/>
            </w:pPr>
            <w:r>
              <w:rPr>
                <w:rFonts w:ascii="Arial" w:hAnsi="Arial"/>
                <w:color w:val="1F1F1F"/>
                <w:sz w:val="19"/>
              </w:rPr>
              <w:t>Internal / Customer / Both</w:t>
            </w:r>
          </w:p>
        </w:tc>
      </w:tr>
      <w:tr>
        <w:tc>
          <w:tcPr>
            <w:tcW w:type="dxa" w:w="2736"/>
            <w:shd w:val="clear" w:color="auto" w:fill="FFFFFF"/>
          </w:tcPr>
          <w:p>
            <w:pPr>
              <w:spacing w:before="60" w:after="60"/>
              <w:ind w:left="72"/>
            </w:pPr>
            <w:r>
              <w:rPr>
                <w:rFonts w:ascii="Arial" w:hAnsi="Arial"/>
                <w:color w:val="1F1F1F"/>
                <w:sz w:val="19"/>
              </w:rPr>
              <w:t>u_ecs_ecs_content</w:t>
            </w:r>
          </w:p>
        </w:tc>
        <w:tc>
          <w:tcPr>
            <w:tcW w:type="dxa" w:w="1872"/>
            <w:shd w:val="clear" w:color="auto" w:fill="FFFFFF"/>
          </w:tcPr>
          <w:p>
            <w:pPr>
              <w:spacing w:before="60" w:after="60"/>
              <w:ind w:left="72"/>
            </w:pPr>
            <w:r>
              <w:rPr>
                <w:rFonts w:ascii="Arial" w:hAnsi="Arial"/>
                <w:color w:val="1F1F1F"/>
                <w:sz w:val="19"/>
              </w:rPr>
              <w:t>Boolean</w:t>
            </w:r>
          </w:p>
        </w:tc>
        <w:tc>
          <w:tcPr>
            <w:tcW w:type="dxa" w:w="4752"/>
            <w:shd w:val="clear" w:color="auto" w:fill="FFFFFF"/>
          </w:tcPr>
          <w:p>
            <w:pPr>
              <w:spacing w:before="60" w:after="60"/>
              <w:ind w:left="72"/>
            </w:pPr>
            <w:r>
              <w:rPr>
                <w:rFonts w:ascii="Arial" w:hAnsi="Arial"/>
                <w:color w:val="1F1F1F"/>
                <w:sz w:val="19"/>
              </w:rPr>
              <w:t>Flags article as ECS delivery content — used to filter portal displays</w:t>
            </w:r>
          </w:p>
        </w:tc>
      </w:tr>
    </w:tbl>
    <w:p>
      <w:pPr>
        <w:spacing w:after="120"/>
      </w:pPr>
    </w:p>
    <w:p>
      <w:pPr>
        <w:spacing w:before="240" w:after="80"/>
      </w:pPr>
      <w:r>
        <w:rPr>
          <w:rFonts w:ascii="Arial" w:hAnsi="Arial"/>
          <w:b/>
          <w:color w:val="007A78"/>
          <w:sz w:val="24"/>
        </w:rPr>
        <w:t>3.5  Decision Records — Extending sc_task</w:t>
      </w:r>
    </w:p>
    <w:p>
      <w:pPr>
        <w:spacing w:before="0" w:after="120"/>
        <w:jc w:val="left"/>
      </w:pPr>
      <w:r>
        <w:rPr>
          <w:rFonts w:ascii="Arial" w:hAnsi="Arial"/>
          <w:b w:val="0"/>
          <w:i w:val="0"/>
          <w:color w:val="1F1F1F"/>
          <w:sz w:val="21"/>
        </w:rPr>
        <w:t>Decisions that need customer input are captured as Catalog Tasks extended with decision-specific fields. This gives us native approval workflow, due dates, and assignment without building a custom table.</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2736"/>
            <w:shd w:val="clear" w:color="auto" w:fill="007A78"/>
          </w:tcPr>
          <w:p>
            <w:pPr>
              <w:spacing w:before="80" w:after="80"/>
              <w:ind w:left="72"/>
            </w:pPr>
            <w:r>
              <w:rPr>
                <w:rFonts w:ascii="Arial" w:hAnsi="Arial"/>
                <w:b/>
                <w:color w:val="FFFFFF"/>
                <w:sz w:val="20"/>
              </w:rPr>
              <w:t>Extended Field</w:t>
            </w:r>
          </w:p>
        </w:tc>
        <w:tc>
          <w:tcPr>
            <w:tcW w:type="dxa" w:w="1872"/>
            <w:shd w:val="clear" w:color="auto" w:fill="007A78"/>
          </w:tcPr>
          <w:p>
            <w:pPr>
              <w:spacing w:before="80" w:after="80"/>
              <w:ind w:left="72"/>
            </w:pPr>
            <w:r>
              <w:rPr>
                <w:rFonts w:ascii="Arial" w:hAnsi="Arial"/>
                <w:b/>
                <w:color w:val="FFFFFF"/>
                <w:sz w:val="20"/>
              </w:rPr>
              <w:t>Type</w:t>
            </w:r>
          </w:p>
        </w:tc>
        <w:tc>
          <w:tcPr>
            <w:tcW w:type="dxa" w:w="4752"/>
            <w:shd w:val="clear" w:color="auto" w:fill="007A78"/>
          </w:tcPr>
          <w:p>
            <w:pPr>
              <w:spacing w:before="80" w:after="80"/>
              <w:ind w:left="72"/>
            </w:pPr>
            <w:r>
              <w:rPr>
                <w:rFonts w:ascii="Arial" w:hAnsi="Arial"/>
                <w:b/>
                <w:color w:val="FFFFFF"/>
                <w:sz w:val="20"/>
              </w:rPr>
              <w:t>Purpose</w:t>
            </w:r>
          </w:p>
        </w:tc>
      </w:tr>
      <w:tr>
        <w:tc>
          <w:tcPr>
            <w:tcW w:type="dxa" w:w="2736"/>
            <w:shd w:val="clear" w:color="auto" w:fill="F2F2F2"/>
          </w:tcPr>
          <w:p>
            <w:pPr>
              <w:spacing w:before="60" w:after="60"/>
              <w:ind w:left="72"/>
            </w:pPr>
            <w:r>
              <w:rPr>
                <w:rFonts w:ascii="Arial" w:hAnsi="Arial"/>
                <w:color w:val="1F1F1F"/>
                <w:sz w:val="19"/>
              </w:rPr>
              <w:t>u_ecs_decision_type</w:t>
            </w:r>
          </w:p>
        </w:tc>
        <w:tc>
          <w:tcPr>
            <w:tcW w:type="dxa" w:w="1872"/>
            <w:shd w:val="clear" w:color="auto" w:fill="F2F2F2"/>
          </w:tcPr>
          <w:p>
            <w:pPr>
              <w:spacing w:before="60" w:after="60"/>
              <w:ind w:left="72"/>
            </w:pPr>
            <w:r>
              <w:rPr>
                <w:rFonts w:ascii="Arial" w:hAnsi="Arial"/>
                <w:color w:val="1F1F1F"/>
                <w:sz w:val="19"/>
              </w:rPr>
              <w:t>Boolean (flag)</w:t>
            </w:r>
          </w:p>
        </w:tc>
        <w:tc>
          <w:tcPr>
            <w:tcW w:type="dxa" w:w="4752"/>
            <w:shd w:val="clear" w:color="auto" w:fill="F2F2F2"/>
          </w:tcPr>
          <w:p>
            <w:pPr>
              <w:spacing w:before="60" w:after="60"/>
              <w:ind w:left="72"/>
            </w:pPr>
            <w:r>
              <w:rPr>
                <w:rFonts w:ascii="Arial" w:hAnsi="Arial"/>
                <w:color w:val="1F1F1F"/>
                <w:sz w:val="19"/>
              </w:rPr>
              <w:t>Marks this catalog task as an ECS Decision record</w:t>
            </w:r>
          </w:p>
        </w:tc>
      </w:tr>
      <w:tr>
        <w:tc>
          <w:tcPr>
            <w:tcW w:type="dxa" w:w="2736"/>
            <w:shd w:val="clear" w:color="auto" w:fill="FFFFFF"/>
          </w:tcPr>
          <w:p>
            <w:pPr>
              <w:spacing w:before="60" w:after="60"/>
              <w:ind w:left="72"/>
            </w:pPr>
            <w:r>
              <w:rPr>
                <w:rFonts w:ascii="Arial" w:hAnsi="Arial"/>
                <w:color w:val="1F1F1F"/>
                <w:sz w:val="19"/>
              </w:rPr>
              <w:t>u_ecs_engagement</w:t>
            </w:r>
          </w:p>
        </w:tc>
        <w:tc>
          <w:tcPr>
            <w:tcW w:type="dxa" w:w="1872"/>
            <w:shd w:val="clear" w:color="auto" w:fill="FFFFFF"/>
          </w:tcPr>
          <w:p>
            <w:pPr>
              <w:spacing w:before="60" w:after="60"/>
              <w:ind w:left="72"/>
            </w:pPr>
            <w:r>
              <w:rPr>
                <w:rFonts w:ascii="Arial" w:hAnsi="Arial"/>
                <w:color w:val="1F1F1F"/>
                <w:sz w:val="19"/>
              </w:rPr>
              <w:t>Reference → pm_project</w:t>
            </w:r>
          </w:p>
        </w:tc>
        <w:tc>
          <w:tcPr>
            <w:tcW w:type="dxa" w:w="4752"/>
            <w:shd w:val="clear" w:color="auto" w:fill="FFFFFF"/>
          </w:tcPr>
          <w:p>
            <w:pPr>
              <w:spacing w:before="60" w:after="60"/>
              <w:ind w:left="72"/>
            </w:pPr>
            <w:r>
              <w:rPr>
                <w:rFonts w:ascii="Arial" w:hAnsi="Arial"/>
                <w:color w:val="1F1F1F"/>
                <w:sz w:val="19"/>
              </w:rPr>
              <w:t>Links to engagement</w:t>
            </w:r>
          </w:p>
        </w:tc>
      </w:tr>
      <w:tr>
        <w:tc>
          <w:tcPr>
            <w:tcW w:type="dxa" w:w="2736"/>
            <w:shd w:val="clear" w:color="auto" w:fill="F2F2F2"/>
          </w:tcPr>
          <w:p>
            <w:pPr>
              <w:spacing w:before="60" w:after="60"/>
              <w:ind w:left="72"/>
            </w:pPr>
            <w:r>
              <w:rPr>
                <w:rFonts w:ascii="Arial" w:hAnsi="Arial"/>
                <w:color w:val="1F1F1F"/>
                <w:sz w:val="19"/>
              </w:rPr>
              <w:t>u_ecs_sprint_gate</w:t>
            </w:r>
          </w:p>
        </w:tc>
        <w:tc>
          <w:tcPr>
            <w:tcW w:type="dxa" w:w="1872"/>
            <w:shd w:val="clear" w:color="auto" w:fill="F2F2F2"/>
          </w:tcPr>
          <w:p>
            <w:pPr>
              <w:spacing w:before="60" w:after="60"/>
              <w:ind w:left="72"/>
            </w:pPr>
            <w:r>
              <w:rPr>
                <w:rFonts w:ascii="Arial" w:hAnsi="Arial"/>
                <w:color w:val="1F1F1F"/>
                <w:sz w:val="19"/>
              </w:rPr>
              <w:t>Reference → pm_project_task</w:t>
            </w:r>
          </w:p>
        </w:tc>
        <w:tc>
          <w:tcPr>
            <w:tcW w:type="dxa" w:w="4752"/>
            <w:shd w:val="clear" w:color="auto" w:fill="F2F2F2"/>
          </w:tcPr>
          <w:p>
            <w:pPr>
              <w:spacing w:before="60" w:after="60"/>
              <w:ind w:left="72"/>
            </w:pPr>
            <w:r>
              <w:rPr>
                <w:rFonts w:ascii="Arial" w:hAnsi="Arial"/>
                <w:color w:val="1F1F1F"/>
                <w:sz w:val="19"/>
              </w:rPr>
              <w:t>Sprint when decision is needed</w:t>
            </w:r>
          </w:p>
        </w:tc>
      </w:tr>
      <w:tr>
        <w:tc>
          <w:tcPr>
            <w:tcW w:type="dxa" w:w="2736"/>
            <w:shd w:val="clear" w:color="auto" w:fill="FFFFFF"/>
          </w:tcPr>
          <w:p>
            <w:pPr>
              <w:spacing w:before="60" w:after="60"/>
              <w:ind w:left="72"/>
            </w:pPr>
            <w:r>
              <w:rPr>
                <w:rFonts w:ascii="Arial" w:hAnsi="Arial"/>
                <w:color w:val="1F1F1F"/>
                <w:sz w:val="19"/>
              </w:rPr>
              <w:t>u_ecs_workstream</w:t>
            </w:r>
          </w:p>
        </w:tc>
        <w:tc>
          <w:tcPr>
            <w:tcW w:type="dxa" w:w="1872"/>
            <w:shd w:val="clear" w:color="auto" w:fill="FFFFFF"/>
          </w:tcPr>
          <w:p>
            <w:pPr>
              <w:spacing w:before="60" w:after="60"/>
              <w:ind w:left="72"/>
            </w:pPr>
            <w:r>
              <w:rPr>
                <w:rFonts w:ascii="Arial" w:hAnsi="Arial"/>
                <w:color w:val="1F1F1F"/>
                <w:sz w:val="19"/>
              </w:rPr>
              <w:t>Choice</w:t>
            </w:r>
          </w:p>
        </w:tc>
        <w:tc>
          <w:tcPr>
            <w:tcW w:type="dxa" w:w="4752"/>
            <w:shd w:val="clear" w:color="auto" w:fill="FFFFFF"/>
          </w:tcPr>
          <w:p>
            <w:pPr>
              <w:spacing w:before="60" w:after="60"/>
              <w:ind w:left="72"/>
            </w:pPr>
            <w:r>
              <w:rPr>
                <w:rFonts w:ascii="Arial" w:hAnsi="Arial"/>
                <w:color w:val="1F1F1F"/>
                <w:sz w:val="19"/>
              </w:rPr>
              <w:t>Which workstream is affected</w:t>
            </w:r>
          </w:p>
        </w:tc>
      </w:tr>
      <w:tr>
        <w:tc>
          <w:tcPr>
            <w:tcW w:type="dxa" w:w="2736"/>
            <w:shd w:val="clear" w:color="auto" w:fill="F2F2F2"/>
          </w:tcPr>
          <w:p>
            <w:pPr>
              <w:spacing w:before="60" w:after="60"/>
              <w:ind w:left="72"/>
            </w:pPr>
            <w:r>
              <w:rPr>
                <w:rFonts w:ascii="Arial" w:hAnsi="Arial"/>
                <w:color w:val="1F1F1F"/>
                <w:sz w:val="19"/>
              </w:rPr>
              <w:t>u_ecs_options_presented</w:t>
            </w:r>
          </w:p>
        </w:tc>
        <w:tc>
          <w:tcPr>
            <w:tcW w:type="dxa" w:w="1872"/>
            <w:shd w:val="clear" w:color="auto" w:fill="F2F2F2"/>
          </w:tcPr>
          <w:p>
            <w:pPr>
              <w:spacing w:before="60" w:after="60"/>
              <w:ind w:left="72"/>
            </w:pPr>
            <w:r>
              <w:rPr>
                <w:rFonts w:ascii="Arial" w:hAnsi="Arial"/>
                <w:color w:val="1F1F1F"/>
                <w:sz w:val="19"/>
              </w:rPr>
              <w:t>String</w:t>
            </w:r>
          </w:p>
        </w:tc>
        <w:tc>
          <w:tcPr>
            <w:tcW w:type="dxa" w:w="4752"/>
            <w:shd w:val="clear" w:color="auto" w:fill="F2F2F2"/>
          </w:tcPr>
          <w:p>
            <w:pPr>
              <w:spacing w:before="60" w:after="60"/>
              <w:ind w:left="72"/>
            </w:pPr>
            <w:r>
              <w:rPr>
                <w:rFonts w:ascii="Arial" w:hAnsi="Arial"/>
                <w:color w:val="1F1F1F"/>
                <w:sz w:val="19"/>
              </w:rPr>
              <w:t>OOTB vs. alternatives documented</w:t>
            </w:r>
          </w:p>
        </w:tc>
      </w:tr>
      <w:tr>
        <w:tc>
          <w:tcPr>
            <w:tcW w:type="dxa" w:w="2736"/>
            <w:shd w:val="clear" w:color="auto" w:fill="FFFFFF"/>
          </w:tcPr>
          <w:p>
            <w:pPr>
              <w:spacing w:before="60" w:after="60"/>
              <w:ind w:left="72"/>
            </w:pPr>
            <w:r>
              <w:rPr>
                <w:rFonts w:ascii="Arial" w:hAnsi="Arial"/>
                <w:color w:val="1F1F1F"/>
                <w:sz w:val="19"/>
              </w:rPr>
              <w:t>u_ecs_decision_made</w:t>
            </w:r>
          </w:p>
        </w:tc>
        <w:tc>
          <w:tcPr>
            <w:tcW w:type="dxa" w:w="1872"/>
            <w:shd w:val="clear" w:color="auto" w:fill="FFFFFF"/>
          </w:tcPr>
          <w:p>
            <w:pPr>
              <w:spacing w:before="60" w:after="60"/>
              <w:ind w:left="72"/>
            </w:pPr>
            <w:r>
              <w:rPr>
                <w:rFonts w:ascii="Arial" w:hAnsi="Arial"/>
                <w:color w:val="1F1F1F"/>
                <w:sz w:val="19"/>
              </w:rPr>
              <w:t>String</w:t>
            </w:r>
          </w:p>
        </w:tc>
        <w:tc>
          <w:tcPr>
            <w:tcW w:type="dxa" w:w="4752"/>
            <w:shd w:val="clear" w:color="auto" w:fill="FFFFFF"/>
          </w:tcPr>
          <w:p>
            <w:pPr>
              <w:spacing w:before="60" w:after="60"/>
              <w:ind w:left="72"/>
            </w:pPr>
            <w:r>
              <w:rPr>
                <w:rFonts w:ascii="Arial" w:hAnsi="Arial"/>
                <w:color w:val="1F1F1F"/>
                <w:sz w:val="19"/>
              </w:rPr>
              <w:t>Recorded outcome once decided</w:t>
            </w:r>
          </w:p>
        </w:tc>
      </w:tr>
      <w:tr>
        <w:tc>
          <w:tcPr>
            <w:tcW w:type="dxa" w:w="2736"/>
            <w:shd w:val="clear" w:color="auto" w:fill="F2F2F2"/>
          </w:tcPr>
          <w:p>
            <w:pPr>
              <w:spacing w:before="60" w:after="60"/>
              <w:ind w:left="72"/>
            </w:pPr>
            <w:r>
              <w:rPr>
                <w:rFonts w:ascii="Arial" w:hAnsi="Arial"/>
                <w:color w:val="1F1F1F"/>
                <w:sz w:val="19"/>
              </w:rPr>
              <w:t>u_ecs_impact_if_deferred</w:t>
            </w:r>
          </w:p>
        </w:tc>
        <w:tc>
          <w:tcPr>
            <w:tcW w:type="dxa" w:w="1872"/>
            <w:shd w:val="clear" w:color="auto" w:fill="F2F2F2"/>
          </w:tcPr>
          <w:p>
            <w:pPr>
              <w:spacing w:before="60" w:after="60"/>
              <w:ind w:left="72"/>
            </w:pPr>
            <w:r>
              <w:rPr>
                <w:rFonts w:ascii="Arial" w:hAnsi="Arial"/>
                <w:color w:val="1F1F1F"/>
                <w:sz w:val="19"/>
              </w:rPr>
              <w:t>String</w:t>
            </w:r>
          </w:p>
        </w:tc>
        <w:tc>
          <w:tcPr>
            <w:tcW w:type="dxa" w:w="4752"/>
            <w:shd w:val="clear" w:color="auto" w:fill="F2F2F2"/>
          </w:tcPr>
          <w:p>
            <w:pPr>
              <w:spacing w:before="60" w:after="60"/>
              <w:ind w:left="72"/>
            </w:pPr>
            <w:r>
              <w:rPr>
                <w:rFonts w:ascii="Arial" w:hAnsi="Arial"/>
                <w:color w:val="1F1F1F"/>
                <w:sz w:val="19"/>
              </w:rPr>
              <w:t>What delays if not resolved by due date</w:t>
            </w:r>
          </w:p>
        </w:tc>
      </w:tr>
    </w:tbl>
    <w:p>
      <w:pPr>
        <w:spacing w:after="120"/>
      </w:pPr>
    </w:p>
    <w:p>
      <w:r>
        <w:br w:type="page"/>
      </w:r>
    </w:p>
    <w:p>
      <w:pPr>
        <w:spacing w:before="360" w:after="120"/>
        <w:pBdr>
          <w:bottom w:val="single" w:sz="6" w:space="1" w:color="007A78"/>
        </w:pBdr>
      </w:pPr>
      <w:r>
        <w:rPr>
          <w:rFonts w:ascii="Arial" w:hAnsi="Arial"/>
          <w:b/>
          <w:color w:val="1B3A6B"/>
          <w:sz w:val="28"/>
        </w:rPr>
        <w:t>4. ROLE FRAMEWORK</w:t>
      </w:r>
    </w:p>
    <w:p>
      <w:pPr>
        <w:spacing w:before="0" w:after="200"/>
        <w:jc w:val="left"/>
      </w:pPr>
      <w:r>
        <w:rPr>
          <w:rFonts w:ascii="Arial" w:hAnsi="Arial"/>
          <w:b w:val="0"/>
          <w:i w:val="0"/>
          <w:color w:val="1F1F1F"/>
          <w:sz w:val="21"/>
        </w:rPr>
        <w:t>The role framework is identical to Blueprint A. Roles are defined within the scoped application scope to control portal access, field visibility, and notifications. The difference is that ACLs restrict access to fields on native tables rather than entirely separate tables.</w:t>
      </w:r>
    </w:p>
    <w:p>
      <w:pPr>
        <w:spacing w:before="240" w:after="80"/>
      </w:pPr>
      <w:r>
        <w:rPr>
          <w:rFonts w:ascii="Arial" w:hAnsi="Arial"/>
          <w:b/>
          <w:color w:val="007A78"/>
          <w:sz w:val="24"/>
        </w:rPr>
        <w:t>4.1  Internal Roles (Everforth Staff)</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2016"/>
            <w:shd w:val="clear" w:color="auto" w:fill="007A78"/>
          </w:tcPr>
          <w:p>
            <w:pPr>
              <w:spacing w:before="80" w:after="80"/>
              <w:ind w:left="72"/>
            </w:pPr>
            <w:r>
              <w:rPr>
                <w:rFonts w:ascii="Arial" w:hAnsi="Arial"/>
                <w:b/>
                <w:color w:val="FFFFFF"/>
                <w:sz w:val="20"/>
              </w:rPr>
              <w:t>Role</w:t>
            </w:r>
          </w:p>
        </w:tc>
        <w:tc>
          <w:tcPr>
            <w:tcW w:type="dxa" w:w="2880"/>
            <w:shd w:val="clear" w:color="auto" w:fill="007A78"/>
          </w:tcPr>
          <w:p>
            <w:pPr>
              <w:spacing w:before="80" w:after="80"/>
              <w:ind w:left="72"/>
            </w:pPr>
            <w:r>
              <w:rPr>
                <w:rFonts w:ascii="Arial" w:hAnsi="Arial"/>
                <w:b/>
                <w:color w:val="FFFFFF"/>
                <w:sz w:val="20"/>
              </w:rPr>
              <w:t>SNow Role Name</w:t>
            </w:r>
          </w:p>
        </w:tc>
        <w:tc>
          <w:tcPr>
            <w:tcW w:type="dxa" w:w="4464"/>
            <w:shd w:val="clear" w:color="auto" w:fill="007A78"/>
          </w:tcPr>
          <w:p>
            <w:pPr>
              <w:spacing w:before="80" w:after="80"/>
              <w:ind w:left="72"/>
            </w:pPr>
            <w:r>
              <w:rPr>
                <w:rFonts w:ascii="Arial" w:hAnsi="Arial"/>
                <w:b/>
                <w:color w:val="FFFFFF"/>
                <w:sz w:val="20"/>
              </w:rPr>
              <w:t>What They See &amp; Can Do</w:t>
            </w:r>
          </w:p>
        </w:tc>
      </w:tr>
      <w:tr>
        <w:tc>
          <w:tcPr>
            <w:tcW w:type="dxa" w:w="2016"/>
            <w:shd w:val="clear" w:color="auto" w:fill="F2F2F2"/>
          </w:tcPr>
          <w:p>
            <w:pPr>
              <w:spacing w:before="60" w:after="60"/>
              <w:ind w:left="72"/>
            </w:pPr>
            <w:r>
              <w:rPr>
                <w:rFonts w:ascii="Arial" w:hAnsi="Arial"/>
                <w:color w:val="1F1F1F"/>
                <w:sz w:val="19"/>
              </w:rPr>
              <w:t>Practice Leader</w:t>
            </w:r>
          </w:p>
        </w:tc>
        <w:tc>
          <w:tcPr>
            <w:tcW w:type="dxa" w:w="2880"/>
            <w:shd w:val="clear" w:color="auto" w:fill="F2F2F2"/>
          </w:tcPr>
          <w:p>
            <w:pPr>
              <w:spacing w:before="60" w:after="60"/>
              <w:ind w:left="72"/>
            </w:pPr>
            <w:r>
              <w:rPr>
                <w:rFonts w:ascii="Arial" w:hAnsi="Arial"/>
                <w:color w:val="1F1F1F"/>
                <w:sz w:val="19"/>
              </w:rPr>
              <w:t>x_everforth_ecs_dip.practice_leader</w:t>
            </w:r>
          </w:p>
        </w:tc>
        <w:tc>
          <w:tcPr>
            <w:tcW w:type="dxa" w:w="4464"/>
            <w:shd w:val="clear" w:color="auto" w:fill="F2F2F2"/>
          </w:tcPr>
          <w:p>
            <w:pPr>
              <w:spacing w:before="60" w:after="60"/>
              <w:ind w:left="72"/>
            </w:pPr>
            <w:r>
              <w:rPr>
                <w:rFonts w:ascii="Arial" w:hAnsi="Arial"/>
                <w:color w:val="1F1F1F"/>
                <w:sz w:val="19"/>
              </w:rPr>
              <w:t>All engagements (pm_project filtered by u_ecs flag), practice health roll-up, content management</w:t>
            </w:r>
          </w:p>
        </w:tc>
      </w:tr>
      <w:tr>
        <w:tc>
          <w:tcPr>
            <w:tcW w:type="dxa" w:w="2016"/>
            <w:shd w:val="clear" w:color="auto" w:fill="FFFFFF"/>
          </w:tcPr>
          <w:p>
            <w:pPr>
              <w:spacing w:before="60" w:after="60"/>
              <w:ind w:left="72"/>
            </w:pPr>
            <w:r>
              <w:rPr>
                <w:rFonts w:ascii="Arial" w:hAnsi="Arial"/>
                <w:color w:val="1F1F1F"/>
                <w:sz w:val="19"/>
              </w:rPr>
              <w:t>Delivery Manager</w:t>
            </w:r>
          </w:p>
        </w:tc>
        <w:tc>
          <w:tcPr>
            <w:tcW w:type="dxa" w:w="2880"/>
            <w:shd w:val="clear" w:color="auto" w:fill="FFFFFF"/>
          </w:tcPr>
          <w:p>
            <w:pPr>
              <w:spacing w:before="60" w:after="60"/>
              <w:ind w:left="72"/>
            </w:pPr>
            <w:r>
              <w:rPr>
                <w:rFonts w:ascii="Arial" w:hAnsi="Arial"/>
                <w:color w:val="1F1F1F"/>
                <w:sz w:val="19"/>
              </w:rPr>
              <w:t>x_everforth_ecs_dip.delivery_mgr</w:t>
            </w:r>
          </w:p>
        </w:tc>
        <w:tc>
          <w:tcPr>
            <w:tcW w:type="dxa" w:w="4464"/>
            <w:shd w:val="clear" w:color="auto" w:fill="FFFFFF"/>
          </w:tcPr>
          <w:p>
            <w:pPr>
              <w:spacing w:before="60" w:after="60"/>
              <w:ind w:left="72"/>
            </w:pPr>
            <w:r>
              <w:rPr>
                <w:rFonts w:ascii="Arial" w:hAnsi="Arial"/>
                <w:color w:val="1F1F1F"/>
                <w:sz w:val="19"/>
              </w:rPr>
              <w:t>Their engagements: sprint gate edits, risk/decision management, health dashboard, customer portal preview</w:t>
            </w:r>
          </w:p>
        </w:tc>
      </w:tr>
      <w:tr>
        <w:tc>
          <w:tcPr>
            <w:tcW w:type="dxa" w:w="2016"/>
            <w:shd w:val="clear" w:color="auto" w:fill="F2F2F2"/>
          </w:tcPr>
          <w:p>
            <w:pPr>
              <w:spacing w:before="60" w:after="60"/>
              <w:ind w:left="72"/>
            </w:pPr>
            <w:r>
              <w:rPr>
                <w:rFonts w:ascii="Arial" w:hAnsi="Arial"/>
                <w:color w:val="1F1F1F"/>
                <w:sz w:val="19"/>
              </w:rPr>
              <w:t>Lead Architect</w:t>
            </w:r>
          </w:p>
        </w:tc>
        <w:tc>
          <w:tcPr>
            <w:tcW w:type="dxa" w:w="2880"/>
            <w:shd w:val="clear" w:color="auto" w:fill="F2F2F2"/>
          </w:tcPr>
          <w:p>
            <w:pPr>
              <w:spacing w:before="60" w:after="60"/>
              <w:ind w:left="72"/>
            </w:pPr>
            <w:r>
              <w:rPr>
                <w:rFonts w:ascii="Arial" w:hAnsi="Arial"/>
                <w:color w:val="1F1F1F"/>
                <w:sz w:val="19"/>
              </w:rPr>
              <w:t>x_everforth_ecs_dip.architect</w:t>
            </w:r>
          </w:p>
        </w:tc>
        <w:tc>
          <w:tcPr>
            <w:tcW w:type="dxa" w:w="4464"/>
            <w:shd w:val="clear" w:color="auto" w:fill="F2F2F2"/>
          </w:tcPr>
          <w:p>
            <w:pPr>
              <w:spacing w:before="60" w:after="60"/>
              <w:ind w:left="72"/>
            </w:pPr>
            <w:r>
              <w:rPr>
                <w:rFonts w:ascii="Arial" w:hAnsi="Arial"/>
                <w:color w:val="1F1F1F"/>
                <w:sz w:val="19"/>
              </w:rPr>
              <w:t>Their engagements: technical decisions, workstream health, KB content for their workstreams</w:t>
            </w:r>
          </w:p>
        </w:tc>
      </w:tr>
      <w:tr>
        <w:tc>
          <w:tcPr>
            <w:tcW w:type="dxa" w:w="2016"/>
            <w:shd w:val="clear" w:color="auto" w:fill="FFFFFF"/>
          </w:tcPr>
          <w:p>
            <w:pPr>
              <w:spacing w:before="60" w:after="60"/>
              <w:ind w:left="72"/>
            </w:pPr>
            <w:r>
              <w:rPr>
                <w:rFonts w:ascii="Arial" w:hAnsi="Arial"/>
                <w:color w:val="1F1F1F"/>
                <w:sz w:val="19"/>
              </w:rPr>
              <w:t>Consultant</w:t>
            </w:r>
          </w:p>
        </w:tc>
        <w:tc>
          <w:tcPr>
            <w:tcW w:type="dxa" w:w="2880"/>
            <w:shd w:val="clear" w:color="auto" w:fill="FFFFFF"/>
          </w:tcPr>
          <w:p>
            <w:pPr>
              <w:spacing w:before="60" w:after="60"/>
              <w:ind w:left="72"/>
            </w:pPr>
            <w:r>
              <w:rPr>
                <w:rFonts w:ascii="Arial" w:hAnsi="Arial"/>
                <w:color w:val="1F1F1F"/>
                <w:sz w:val="19"/>
              </w:rPr>
              <w:t>x_everforth_ecs_dip.consultant</w:t>
            </w:r>
          </w:p>
        </w:tc>
        <w:tc>
          <w:tcPr>
            <w:tcW w:type="dxa" w:w="4464"/>
            <w:shd w:val="clear" w:color="auto" w:fill="FFFFFF"/>
          </w:tcPr>
          <w:p>
            <w:pPr>
              <w:spacing w:before="60" w:after="60"/>
              <w:ind w:left="72"/>
            </w:pPr>
            <w:r>
              <w:rPr>
                <w:rFonts w:ascii="Arial" w:hAnsi="Arial"/>
                <w:color w:val="1F1F1F"/>
                <w:sz w:val="19"/>
              </w:rPr>
              <w:t>Their sprint tasks from Agile, relevant KB content filtered by sprint and workstream</w:t>
            </w:r>
          </w:p>
        </w:tc>
      </w:tr>
    </w:tbl>
    <w:p>
      <w:pPr>
        <w:spacing w:after="120"/>
      </w:pPr>
    </w:p>
    <w:p>
      <w:pPr>
        <w:spacing w:before="240" w:after="80"/>
      </w:pPr>
      <w:r>
        <w:rPr>
          <w:rFonts w:ascii="Arial" w:hAnsi="Arial"/>
          <w:b/>
          <w:color w:val="007A78"/>
          <w:sz w:val="24"/>
        </w:rPr>
        <w:t>4.2  Customer Roles (Portal Access Only)</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2016"/>
            <w:shd w:val="clear" w:color="auto" w:fill="007A78"/>
          </w:tcPr>
          <w:p>
            <w:pPr>
              <w:spacing w:before="80" w:after="80"/>
              <w:ind w:left="72"/>
            </w:pPr>
            <w:r>
              <w:rPr>
                <w:rFonts w:ascii="Arial" w:hAnsi="Arial"/>
                <w:b/>
                <w:color w:val="FFFFFF"/>
                <w:sz w:val="20"/>
              </w:rPr>
              <w:t>Role</w:t>
            </w:r>
          </w:p>
        </w:tc>
        <w:tc>
          <w:tcPr>
            <w:tcW w:type="dxa" w:w="2880"/>
            <w:shd w:val="clear" w:color="auto" w:fill="007A78"/>
          </w:tcPr>
          <w:p>
            <w:pPr>
              <w:spacing w:before="80" w:after="80"/>
              <w:ind w:left="72"/>
            </w:pPr>
            <w:r>
              <w:rPr>
                <w:rFonts w:ascii="Arial" w:hAnsi="Arial"/>
                <w:b/>
                <w:color w:val="FFFFFF"/>
                <w:sz w:val="20"/>
              </w:rPr>
              <w:t>SNow Role Name</w:t>
            </w:r>
          </w:p>
        </w:tc>
        <w:tc>
          <w:tcPr>
            <w:tcW w:type="dxa" w:w="4464"/>
            <w:shd w:val="clear" w:color="auto" w:fill="007A78"/>
          </w:tcPr>
          <w:p>
            <w:pPr>
              <w:spacing w:before="80" w:after="80"/>
              <w:ind w:left="72"/>
            </w:pPr>
            <w:r>
              <w:rPr>
                <w:rFonts w:ascii="Arial" w:hAnsi="Arial"/>
                <w:b/>
                <w:color w:val="FFFFFF"/>
                <w:sz w:val="20"/>
              </w:rPr>
              <w:t>What They See &amp; Can Do</w:t>
            </w:r>
          </w:p>
        </w:tc>
      </w:tr>
      <w:tr>
        <w:tc>
          <w:tcPr>
            <w:tcW w:type="dxa" w:w="2016"/>
            <w:shd w:val="clear" w:color="auto" w:fill="F2F2F2"/>
          </w:tcPr>
          <w:p>
            <w:pPr>
              <w:spacing w:before="60" w:after="60"/>
              <w:ind w:left="72"/>
            </w:pPr>
            <w:r>
              <w:rPr>
                <w:rFonts w:ascii="Arial" w:hAnsi="Arial"/>
                <w:color w:val="1F1F1F"/>
                <w:sz w:val="19"/>
              </w:rPr>
              <w:t>Executive Sponsor</w:t>
            </w:r>
          </w:p>
        </w:tc>
        <w:tc>
          <w:tcPr>
            <w:tcW w:type="dxa" w:w="2880"/>
            <w:shd w:val="clear" w:color="auto" w:fill="F2F2F2"/>
          </w:tcPr>
          <w:p>
            <w:pPr>
              <w:spacing w:before="60" w:after="60"/>
              <w:ind w:left="72"/>
            </w:pPr>
            <w:r>
              <w:rPr>
                <w:rFonts w:ascii="Arial" w:hAnsi="Arial"/>
                <w:color w:val="1F1F1F"/>
                <w:sz w:val="19"/>
              </w:rPr>
              <w:t>x_everforth_ecs_dip.customer_sponsor</w:t>
            </w:r>
          </w:p>
        </w:tc>
        <w:tc>
          <w:tcPr>
            <w:tcW w:type="dxa" w:w="4464"/>
            <w:shd w:val="clear" w:color="auto" w:fill="F2F2F2"/>
          </w:tcPr>
          <w:p>
            <w:pPr>
              <w:spacing w:before="60" w:after="60"/>
              <w:ind w:left="72"/>
            </w:pPr>
            <w:r>
              <w:rPr>
                <w:rFonts w:ascii="Arial" w:hAnsi="Arial"/>
                <w:color w:val="1F1F1F"/>
                <w:sz w:val="19"/>
              </w:rPr>
              <w:t>Health summary, milestone timeline, gate approvals, escalated risks and decisions</w:t>
            </w:r>
          </w:p>
        </w:tc>
      </w:tr>
      <w:tr>
        <w:tc>
          <w:tcPr>
            <w:tcW w:type="dxa" w:w="2016"/>
            <w:shd w:val="clear" w:color="auto" w:fill="FFFFFF"/>
          </w:tcPr>
          <w:p>
            <w:pPr>
              <w:spacing w:before="60" w:after="60"/>
              <w:ind w:left="72"/>
            </w:pPr>
            <w:r>
              <w:rPr>
                <w:rFonts w:ascii="Arial" w:hAnsi="Arial"/>
                <w:color w:val="1F1F1F"/>
                <w:sz w:val="19"/>
              </w:rPr>
              <w:t>Project Owner</w:t>
            </w:r>
          </w:p>
        </w:tc>
        <w:tc>
          <w:tcPr>
            <w:tcW w:type="dxa" w:w="2880"/>
            <w:shd w:val="clear" w:color="auto" w:fill="FFFFFF"/>
          </w:tcPr>
          <w:p>
            <w:pPr>
              <w:spacing w:before="60" w:after="60"/>
              <w:ind w:left="72"/>
            </w:pPr>
            <w:r>
              <w:rPr>
                <w:rFonts w:ascii="Arial" w:hAnsi="Arial"/>
                <w:color w:val="1F1F1F"/>
                <w:sz w:val="19"/>
              </w:rPr>
              <w:t>x_everforth_ecs_dip.customer_pm</w:t>
            </w:r>
          </w:p>
        </w:tc>
        <w:tc>
          <w:tcPr>
            <w:tcW w:type="dxa" w:w="4464"/>
            <w:shd w:val="clear" w:color="auto" w:fill="FFFFFF"/>
          </w:tcPr>
          <w:p>
            <w:pPr>
              <w:spacing w:before="60" w:after="60"/>
              <w:ind w:left="72"/>
            </w:pPr>
            <w:r>
              <w:rPr>
                <w:rFonts w:ascii="Arial" w:hAnsi="Arial"/>
                <w:color w:val="1F1F1F"/>
                <w:sz w:val="19"/>
              </w:rPr>
              <w:t>Sprint-level detail, all decisions requiring input, risk log, upcoming commitments</w:t>
            </w:r>
          </w:p>
        </w:tc>
      </w:tr>
      <w:tr>
        <w:tc>
          <w:tcPr>
            <w:tcW w:type="dxa" w:w="2016"/>
            <w:shd w:val="clear" w:color="auto" w:fill="F2F2F2"/>
          </w:tcPr>
          <w:p>
            <w:pPr>
              <w:spacing w:before="60" w:after="60"/>
              <w:ind w:left="72"/>
            </w:pPr>
            <w:r>
              <w:rPr>
                <w:rFonts w:ascii="Arial" w:hAnsi="Arial"/>
                <w:color w:val="1F1F1F"/>
                <w:sz w:val="19"/>
              </w:rPr>
              <w:t>Process Owner</w:t>
            </w:r>
          </w:p>
        </w:tc>
        <w:tc>
          <w:tcPr>
            <w:tcW w:type="dxa" w:w="2880"/>
            <w:shd w:val="clear" w:color="auto" w:fill="F2F2F2"/>
          </w:tcPr>
          <w:p>
            <w:pPr>
              <w:spacing w:before="60" w:after="60"/>
              <w:ind w:left="72"/>
            </w:pPr>
            <w:r>
              <w:rPr>
                <w:rFonts w:ascii="Arial" w:hAnsi="Arial"/>
                <w:color w:val="1F1F1F"/>
                <w:sz w:val="19"/>
              </w:rPr>
              <w:t>x_everforth_ecs_dip.customer_process</w:t>
            </w:r>
          </w:p>
        </w:tc>
        <w:tc>
          <w:tcPr>
            <w:tcW w:type="dxa" w:w="4464"/>
            <w:shd w:val="clear" w:color="auto" w:fill="F2F2F2"/>
          </w:tcPr>
          <w:p>
            <w:pPr>
              <w:spacing w:before="60" w:after="60"/>
              <w:ind w:left="72"/>
            </w:pPr>
            <w:r>
              <w:rPr>
                <w:rFonts w:ascii="Arial" w:hAnsi="Arial"/>
                <w:color w:val="1F1F1F"/>
                <w:sz w:val="19"/>
              </w:rPr>
              <w:t>Workstream-scoped content, decisions in their area, workshop pre-reads for their process</w:t>
            </w:r>
          </w:p>
        </w:tc>
      </w:tr>
      <w:tr>
        <w:tc>
          <w:tcPr>
            <w:tcW w:type="dxa" w:w="2016"/>
            <w:shd w:val="clear" w:color="auto" w:fill="FFFFFF"/>
          </w:tcPr>
          <w:p>
            <w:pPr>
              <w:spacing w:before="60" w:after="60"/>
              <w:ind w:left="72"/>
            </w:pPr>
            <w:r>
              <w:rPr>
                <w:rFonts w:ascii="Arial" w:hAnsi="Arial"/>
                <w:color w:val="1F1F1F"/>
                <w:sz w:val="19"/>
              </w:rPr>
              <w:t>End User</w:t>
            </w:r>
          </w:p>
        </w:tc>
        <w:tc>
          <w:tcPr>
            <w:tcW w:type="dxa" w:w="2880"/>
            <w:shd w:val="clear" w:color="auto" w:fill="FFFFFF"/>
          </w:tcPr>
          <w:p>
            <w:pPr>
              <w:spacing w:before="60" w:after="60"/>
              <w:ind w:left="72"/>
            </w:pPr>
            <w:r>
              <w:rPr>
                <w:rFonts w:ascii="Arial" w:hAnsi="Arial"/>
                <w:color w:val="1F1F1F"/>
                <w:sz w:val="19"/>
              </w:rPr>
              <w:t>x_everforth_ecs_dip.customer_user</w:t>
            </w:r>
          </w:p>
        </w:tc>
        <w:tc>
          <w:tcPr>
            <w:tcW w:type="dxa" w:w="4464"/>
            <w:shd w:val="clear" w:color="auto" w:fill="FFFFFF"/>
          </w:tcPr>
          <w:p>
            <w:pPr>
              <w:spacing w:before="60" w:after="60"/>
              <w:ind w:left="72"/>
            </w:pPr>
            <w:r>
              <w:rPr>
                <w:rFonts w:ascii="Arial" w:hAnsi="Arial"/>
                <w:color w:val="1F1F1F"/>
                <w:sz w:val="19"/>
              </w:rPr>
              <w:t>Read-only: sprint schedule, upcoming changes, relevant knowledge articles</w:t>
            </w:r>
          </w:p>
        </w:tc>
      </w:tr>
    </w:tbl>
    <w:p>
      <w:pPr>
        <w:spacing w:after="12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val="clear" w:color="auto" w:fill="FEF9EC"/>
          </w:tcPr>
          <w:p>
            <w:pPr>
              <w:spacing w:before="120" w:after="40"/>
              <w:ind w:left="144"/>
            </w:pPr>
            <w:r>
              <w:rPr>
                <w:rFonts w:ascii="Arial" w:hAnsi="Arial"/>
                <w:b/>
                <w:color w:val="C9A02B"/>
                <w:sz w:val="20"/>
              </w:rPr>
              <w:t xml:space="preserve">ACL strategy for Blueprint B:  </w:t>
            </w:r>
            <w:r>
              <w:rPr>
                <w:rFonts w:ascii="Arial" w:hAnsi="Arial"/>
                <w:color w:val="1F1F1F"/>
                <w:sz w:val="20"/>
              </w:rPr>
              <w:t>Because extended fields live on native tables, ACLs must be written carefully to avoid granting broader native table access than intended. Each ECS field should have its own ACL condition checking for the u_ecs_ prefix and the user's ECS role. Portal widget data queries must use addQuery() conditions to scope results to the current engagement. This is more ACL management overhead than Blueprint A's scoped tables.</w:t>
            </w:r>
          </w:p>
          <w:p>
            <w:pPr>
              <w:spacing w:after="120"/>
            </w:pPr>
          </w:p>
        </w:tc>
      </w:tr>
    </w:tbl>
    <w:p>
      <w:pPr>
        <w:spacing w:after="80"/>
      </w:pPr>
    </w:p>
    <w:p>
      <w:r>
        <w:br w:type="page"/>
      </w:r>
    </w:p>
    <w:p>
      <w:pPr>
        <w:spacing w:before="360" w:after="120"/>
        <w:pBdr>
          <w:bottom w:val="single" w:sz="6" w:space="1" w:color="007A78"/>
        </w:pBdr>
      </w:pPr>
      <w:r>
        <w:rPr>
          <w:rFonts w:ascii="Arial" w:hAnsi="Arial"/>
          <w:b/>
          <w:color w:val="1B3A6B"/>
          <w:sz w:val="28"/>
        </w:rPr>
        <w:t>5. ROLE-BASED PORTAL DESIGN</w:t>
      </w:r>
    </w:p>
    <w:p>
      <w:pPr>
        <w:spacing w:before="0" w:after="200"/>
        <w:jc w:val="left"/>
      </w:pPr>
      <w:r>
        <w:rPr>
          <w:rFonts w:ascii="Arial" w:hAnsi="Arial"/>
          <w:b w:val="0"/>
          <w:i w:val="0"/>
          <w:color w:val="1F1F1F"/>
          <w:sz w:val="21"/>
        </w:rPr>
        <w:t>The portal experience is functionally identical to Blueprint A. All role-based landing pages are built on the Service Portal framework. The difference is that portal widgets query extended native tables rather than custom tables. From the user's perspective, the experience is the same.</w:t>
      </w:r>
    </w:p>
    <w:p>
      <w:pPr>
        <w:spacing w:before="240" w:after="80"/>
      </w:pPr>
      <w:r>
        <w:rPr>
          <w:rFonts w:ascii="Arial" w:hAnsi="Arial"/>
          <w:b/>
          <w:color w:val="007A78"/>
          <w:sz w:val="24"/>
        </w:rPr>
        <w:t>5.1  Portal Pages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2448"/>
            <w:shd w:val="clear" w:color="auto" w:fill="007A78"/>
          </w:tcPr>
          <w:p>
            <w:pPr>
              <w:spacing w:before="80" w:after="80"/>
              <w:ind w:left="72"/>
            </w:pPr>
            <w:r>
              <w:rPr>
                <w:rFonts w:ascii="Arial" w:hAnsi="Arial"/>
                <w:b/>
                <w:color w:val="FFFFFF"/>
                <w:sz w:val="20"/>
              </w:rPr>
              <w:t>Page</w:t>
            </w:r>
          </w:p>
        </w:tc>
        <w:tc>
          <w:tcPr>
            <w:tcW w:type="dxa" w:w="2016"/>
            <w:shd w:val="clear" w:color="auto" w:fill="007A78"/>
          </w:tcPr>
          <w:p>
            <w:pPr>
              <w:spacing w:before="80" w:after="80"/>
              <w:ind w:left="72"/>
            </w:pPr>
            <w:r>
              <w:rPr>
                <w:rFonts w:ascii="Arial" w:hAnsi="Arial"/>
                <w:b/>
                <w:color w:val="FFFFFF"/>
                <w:sz w:val="20"/>
              </w:rPr>
              <w:t>Audience</w:t>
            </w:r>
          </w:p>
        </w:tc>
        <w:tc>
          <w:tcPr>
            <w:tcW w:type="dxa" w:w="4896"/>
            <w:shd w:val="clear" w:color="auto" w:fill="007A78"/>
          </w:tcPr>
          <w:p>
            <w:pPr>
              <w:spacing w:before="80" w:after="80"/>
              <w:ind w:left="72"/>
            </w:pPr>
            <w:r>
              <w:rPr>
                <w:rFonts w:ascii="Arial" w:hAnsi="Arial"/>
                <w:b/>
                <w:color w:val="FFFFFF"/>
                <w:sz w:val="20"/>
              </w:rPr>
              <w:t>Primary Data Source</w:t>
            </w:r>
          </w:p>
        </w:tc>
      </w:tr>
      <w:tr>
        <w:tc>
          <w:tcPr>
            <w:tcW w:type="dxa" w:w="2448"/>
            <w:shd w:val="clear" w:color="auto" w:fill="F2F2F2"/>
          </w:tcPr>
          <w:p>
            <w:pPr>
              <w:spacing w:before="60" w:after="60"/>
              <w:ind w:left="72"/>
            </w:pPr>
            <w:r>
              <w:rPr>
                <w:rFonts w:ascii="Arial" w:hAnsi="Arial"/>
                <w:color w:val="1F1F1F"/>
                <w:sz w:val="19"/>
              </w:rPr>
              <w:t>Engagement Overview</w:t>
            </w:r>
          </w:p>
        </w:tc>
        <w:tc>
          <w:tcPr>
            <w:tcW w:type="dxa" w:w="2016"/>
            <w:shd w:val="clear" w:color="auto" w:fill="F2F2F2"/>
          </w:tcPr>
          <w:p>
            <w:pPr>
              <w:spacing w:before="60" w:after="60"/>
              <w:ind w:left="72"/>
            </w:pPr>
            <w:r>
              <w:rPr>
                <w:rFonts w:ascii="Arial" w:hAnsi="Arial"/>
                <w:color w:val="1F1F1F"/>
                <w:sz w:val="19"/>
              </w:rPr>
              <w:t>Delivery Manager</w:t>
            </w:r>
          </w:p>
        </w:tc>
        <w:tc>
          <w:tcPr>
            <w:tcW w:type="dxa" w:w="4896"/>
            <w:shd w:val="clear" w:color="auto" w:fill="F2F2F2"/>
          </w:tcPr>
          <w:p>
            <w:pPr>
              <w:spacing w:before="60" w:after="60"/>
              <w:ind w:left="72"/>
            </w:pPr>
            <w:r>
              <w:rPr>
                <w:rFonts w:ascii="Arial" w:hAnsi="Arial"/>
                <w:color w:val="1F1F1F"/>
                <w:sz w:val="19"/>
              </w:rPr>
              <w:t>pm_project with u_ecs_ extensions — health score, sprint gate summary, risk/decision counts</w:t>
            </w:r>
          </w:p>
        </w:tc>
      </w:tr>
      <w:tr>
        <w:tc>
          <w:tcPr>
            <w:tcW w:type="dxa" w:w="2448"/>
            <w:shd w:val="clear" w:color="auto" w:fill="FFFFFF"/>
          </w:tcPr>
          <w:p>
            <w:pPr>
              <w:spacing w:before="60" w:after="60"/>
              <w:ind w:left="72"/>
            </w:pPr>
            <w:r>
              <w:rPr>
                <w:rFonts w:ascii="Arial" w:hAnsi="Arial"/>
                <w:color w:val="1F1F1F"/>
                <w:sz w:val="19"/>
              </w:rPr>
              <w:t>Sprint Health Dashboard</w:t>
            </w:r>
          </w:p>
        </w:tc>
        <w:tc>
          <w:tcPr>
            <w:tcW w:type="dxa" w:w="2016"/>
            <w:shd w:val="clear" w:color="auto" w:fill="FFFFFF"/>
          </w:tcPr>
          <w:p>
            <w:pPr>
              <w:spacing w:before="60" w:after="60"/>
              <w:ind w:left="72"/>
            </w:pPr>
            <w:r>
              <w:rPr>
                <w:rFonts w:ascii="Arial" w:hAnsi="Arial"/>
                <w:color w:val="1F1F1F"/>
                <w:sz w:val="19"/>
              </w:rPr>
              <w:t>Delivery Manager</w:t>
            </w:r>
          </w:p>
        </w:tc>
        <w:tc>
          <w:tcPr>
            <w:tcW w:type="dxa" w:w="4896"/>
            <w:shd w:val="clear" w:color="auto" w:fill="FFFFFF"/>
          </w:tcPr>
          <w:p>
            <w:pPr>
              <w:spacing w:before="60" w:after="60"/>
              <w:ind w:left="72"/>
            </w:pPr>
            <w:r>
              <w:rPr>
                <w:rFonts w:ascii="Arial" w:hAnsi="Arial"/>
                <w:color w:val="1F1F1F"/>
                <w:sz w:val="19"/>
              </w:rPr>
              <w:t>pm_project_task (sprint gates) + rm_story (Agile stories) + PA charts</w:t>
            </w:r>
          </w:p>
        </w:tc>
      </w:tr>
      <w:tr>
        <w:tc>
          <w:tcPr>
            <w:tcW w:type="dxa" w:w="2448"/>
            <w:shd w:val="clear" w:color="auto" w:fill="F2F2F2"/>
          </w:tcPr>
          <w:p>
            <w:pPr>
              <w:spacing w:before="60" w:after="60"/>
              <w:ind w:left="72"/>
            </w:pPr>
            <w:r>
              <w:rPr>
                <w:rFonts w:ascii="Arial" w:hAnsi="Arial"/>
                <w:color w:val="1F1F1F"/>
                <w:sz w:val="19"/>
              </w:rPr>
              <w:t>Consultant Home</w:t>
            </w:r>
          </w:p>
        </w:tc>
        <w:tc>
          <w:tcPr>
            <w:tcW w:type="dxa" w:w="2016"/>
            <w:shd w:val="clear" w:color="auto" w:fill="F2F2F2"/>
          </w:tcPr>
          <w:p>
            <w:pPr>
              <w:spacing w:before="60" w:after="60"/>
              <w:ind w:left="72"/>
            </w:pPr>
            <w:r>
              <w:rPr>
                <w:rFonts w:ascii="Arial" w:hAnsi="Arial"/>
                <w:color w:val="1F1F1F"/>
                <w:sz w:val="19"/>
              </w:rPr>
              <w:t>Consultant</w:t>
            </w:r>
          </w:p>
        </w:tc>
        <w:tc>
          <w:tcPr>
            <w:tcW w:type="dxa" w:w="4896"/>
            <w:shd w:val="clear" w:color="auto" w:fill="F2F2F2"/>
          </w:tcPr>
          <w:p>
            <w:pPr>
              <w:spacing w:before="60" w:after="60"/>
              <w:ind w:left="72"/>
            </w:pPr>
            <w:r>
              <w:rPr>
                <w:rFonts w:ascii="Arial" w:hAnsi="Arial"/>
                <w:color w:val="1F1F1F"/>
                <w:sz w:val="19"/>
              </w:rPr>
              <w:t>rm_story filtered to user, kb_knowledge filtered by u_ecs_applicable_sprint and user's workstream</w:t>
            </w:r>
          </w:p>
        </w:tc>
      </w:tr>
      <w:tr>
        <w:tc>
          <w:tcPr>
            <w:tcW w:type="dxa" w:w="2448"/>
            <w:shd w:val="clear" w:color="auto" w:fill="FFFFFF"/>
          </w:tcPr>
          <w:p>
            <w:pPr>
              <w:spacing w:before="60" w:after="60"/>
              <w:ind w:left="72"/>
            </w:pPr>
            <w:r>
              <w:rPr>
                <w:rFonts w:ascii="Arial" w:hAnsi="Arial"/>
                <w:color w:val="1F1F1F"/>
                <w:sz w:val="19"/>
              </w:rPr>
              <w:t>Sponsor View</w:t>
            </w:r>
          </w:p>
        </w:tc>
        <w:tc>
          <w:tcPr>
            <w:tcW w:type="dxa" w:w="2016"/>
            <w:shd w:val="clear" w:color="auto" w:fill="FFFFFF"/>
          </w:tcPr>
          <w:p>
            <w:pPr>
              <w:spacing w:before="60" w:after="60"/>
              <w:ind w:left="72"/>
            </w:pPr>
            <w:r>
              <w:rPr>
                <w:rFonts w:ascii="Arial" w:hAnsi="Arial"/>
                <w:color w:val="1F1F1F"/>
                <w:sz w:val="19"/>
              </w:rPr>
              <w:t>Customer Sponsor</w:t>
            </w:r>
          </w:p>
        </w:tc>
        <w:tc>
          <w:tcPr>
            <w:tcW w:type="dxa" w:w="4896"/>
            <w:shd w:val="clear" w:color="auto" w:fill="FFFFFF"/>
          </w:tcPr>
          <w:p>
            <w:pPr>
              <w:spacing w:before="60" w:after="60"/>
              <w:ind w:left="72"/>
            </w:pPr>
            <w:r>
              <w:rPr>
                <w:rFonts w:ascii="Arial" w:hAnsi="Arial"/>
                <w:color w:val="1F1F1F"/>
                <w:sz w:val="19"/>
              </w:rPr>
              <w:t>pm_project health card, pm_milestone list, sc_task decisions awaiting approval</w:t>
            </w:r>
          </w:p>
        </w:tc>
      </w:tr>
      <w:tr>
        <w:tc>
          <w:tcPr>
            <w:tcW w:type="dxa" w:w="2448"/>
            <w:shd w:val="clear" w:color="auto" w:fill="F2F2F2"/>
          </w:tcPr>
          <w:p>
            <w:pPr>
              <w:spacing w:before="60" w:after="60"/>
              <w:ind w:left="72"/>
            </w:pPr>
            <w:r>
              <w:rPr>
                <w:rFonts w:ascii="Arial" w:hAnsi="Arial"/>
                <w:color w:val="1F1F1F"/>
                <w:sz w:val="19"/>
              </w:rPr>
              <w:t>Project Owner View</w:t>
            </w:r>
          </w:p>
        </w:tc>
        <w:tc>
          <w:tcPr>
            <w:tcW w:type="dxa" w:w="2016"/>
            <w:shd w:val="clear" w:color="auto" w:fill="F2F2F2"/>
          </w:tcPr>
          <w:p>
            <w:pPr>
              <w:spacing w:before="60" w:after="60"/>
              <w:ind w:left="72"/>
            </w:pPr>
            <w:r>
              <w:rPr>
                <w:rFonts w:ascii="Arial" w:hAnsi="Arial"/>
                <w:color w:val="1F1F1F"/>
                <w:sz w:val="19"/>
              </w:rPr>
              <w:t>Customer PM</w:t>
            </w:r>
          </w:p>
        </w:tc>
        <w:tc>
          <w:tcPr>
            <w:tcW w:type="dxa" w:w="4896"/>
            <w:shd w:val="clear" w:color="auto" w:fill="F2F2F2"/>
          </w:tcPr>
          <w:p>
            <w:pPr>
              <w:spacing w:before="60" w:after="60"/>
              <w:ind w:left="72"/>
            </w:pPr>
            <w:r>
              <w:rPr>
                <w:rFonts w:ascii="Arial" w:hAnsi="Arial"/>
                <w:color w:val="1F1F1F"/>
                <w:sz w:val="19"/>
              </w:rPr>
              <w:t>pm_project_task sprint gates, sn_risk_risk open items, sc_task open decisions</w:t>
            </w:r>
          </w:p>
        </w:tc>
      </w:tr>
      <w:tr>
        <w:tc>
          <w:tcPr>
            <w:tcW w:type="dxa" w:w="2448"/>
            <w:shd w:val="clear" w:color="auto" w:fill="FFFFFF"/>
          </w:tcPr>
          <w:p>
            <w:pPr>
              <w:spacing w:before="60" w:after="60"/>
              <w:ind w:left="72"/>
            </w:pPr>
            <w:r>
              <w:rPr>
                <w:rFonts w:ascii="Arial" w:hAnsi="Arial"/>
                <w:color w:val="1F1F1F"/>
                <w:sz w:val="19"/>
              </w:rPr>
              <w:t>Process Owner View</w:t>
            </w:r>
          </w:p>
        </w:tc>
        <w:tc>
          <w:tcPr>
            <w:tcW w:type="dxa" w:w="2016"/>
            <w:shd w:val="clear" w:color="auto" w:fill="FFFFFF"/>
          </w:tcPr>
          <w:p>
            <w:pPr>
              <w:spacing w:before="60" w:after="60"/>
              <w:ind w:left="72"/>
            </w:pPr>
            <w:r>
              <w:rPr>
                <w:rFonts w:ascii="Arial" w:hAnsi="Arial"/>
                <w:color w:val="1F1F1F"/>
                <w:sz w:val="19"/>
              </w:rPr>
              <w:t>Customer Process Owner</w:t>
            </w:r>
          </w:p>
        </w:tc>
        <w:tc>
          <w:tcPr>
            <w:tcW w:type="dxa" w:w="4896"/>
            <w:shd w:val="clear" w:color="auto" w:fill="FFFFFF"/>
          </w:tcPr>
          <w:p>
            <w:pPr>
              <w:spacing w:before="60" w:after="60"/>
              <w:ind w:left="72"/>
            </w:pPr>
            <w:r>
              <w:rPr>
                <w:rFonts w:ascii="Arial" w:hAnsi="Arial"/>
                <w:color w:val="1F1F1F"/>
                <w:sz w:val="19"/>
              </w:rPr>
              <w:t>kb_knowledge filtered by u_ecs_workstream and u_ecs_audience=Customer, sc_task decisions in their workstream</w:t>
            </w:r>
          </w:p>
        </w:tc>
      </w:tr>
      <w:tr>
        <w:tc>
          <w:tcPr>
            <w:tcW w:type="dxa" w:w="2448"/>
            <w:shd w:val="clear" w:color="auto" w:fill="F2F2F2"/>
          </w:tcPr>
          <w:p>
            <w:pPr>
              <w:spacing w:before="60" w:after="60"/>
              <w:ind w:left="72"/>
            </w:pPr>
            <w:r>
              <w:rPr>
                <w:rFonts w:ascii="Arial" w:hAnsi="Arial"/>
                <w:color w:val="1F1F1F"/>
                <w:sz w:val="19"/>
              </w:rPr>
              <w:t>Practice Roll-Up</w:t>
            </w:r>
          </w:p>
        </w:tc>
        <w:tc>
          <w:tcPr>
            <w:tcW w:type="dxa" w:w="2016"/>
            <w:shd w:val="clear" w:color="auto" w:fill="F2F2F2"/>
          </w:tcPr>
          <w:p>
            <w:pPr>
              <w:spacing w:before="60" w:after="60"/>
              <w:ind w:left="72"/>
            </w:pPr>
            <w:r>
              <w:rPr>
                <w:rFonts w:ascii="Arial" w:hAnsi="Arial"/>
                <w:color w:val="1F1F1F"/>
                <w:sz w:val="19"/>
              </w:rPr>
              <w:t>Practice Leader</w:t>
            </w:r>
          </w:p>
        </w:tc>
        <w:tc>
          <w:tcPr>
            <w:tcW w:type="dxa" w:w="4896"/>
            <w:shd w:val="clear" w:color="auto" w:fill="F2F2F2"/>
          </w:tcPr>
          <w:p>
            <w:pPr>
              <w:spacing w:before="60" w:after="60"/>
              <w:ind w:left="72"/>
            </w:pPr>
            <w:r>
              <w:rPr>
                <w:rFonts w:ascii="Arial" w:hAnsi="Arial"/>
                <w:color w:val="1F1F1F"/>
                <w:sz w:val="19"/>
              </w:rPr>
              <w:t>Aggregate across all pm_projects flagged as ECS engagements — portfolio health view</w:t>
            </w:r>
          </w:p>
        </w:tc>
      </w:tr>
    </w:tbl>
    <w:p>
      <w:pPr>
        <w:spacing w:after="120"/>
      </w:pPr>
    </w:p>
    <w:p>
      <w:pPr>
        <w:spacing w:before="240" w:after="80"/>
      </w:pPr>
      <w:r>
        <w:rPr>
          <w:rFonts w:ascii="Arial" w:hAnsi="Arial"/>
          <w:b/>
          <w:color w:val="007A78"/>
          <w:sz w:val="24"/>
        </w:rPr>
        <w:t>5.2  Key Widget Types</w:t>
      </w:r>
    </w:p>
    <w:p>
      <w:pPr>
        <w:pStyle w:val="ListBullet"/>
        <w:spacing w:after="60"/>
        <w:ind w:left="360"/>
      </w:pPr>
      <w:r>
        <w:rPr>
          <w:rFonts w:ascii="Arial" w:hAnsi="Arial"/>
          <w:color w:val="1F1F1F"/>
          <w:sz w:val="21"/>
        </w:rPr>
        <w:t>Engagement health card: reads u_ecs_health_score and u_ecs_health_indicator from pm_project</w:t>
      </w:r>
    </w:p>
    <w:p>
      <w:pPr>
        <w:pStyle w:val="ListBullet"/>
        <w:spacing w:after="60"/>
        <w:ind w:left="360"/>
      </w:pPr>
      <w:r>
        <w:rPr>
          <w:rFonts w:ascii="Arial" w:hAnsi="Arial"/>
          <w:color w:val="1F1F1F"/>
          <w:sz w:val="21"/>
        </w:rPr>
        <w:t>Sprint gate timeline: reads pm_project_task records filtered by u_ecs_task_type='Sprint Gate'</w:t>
      </w:r>
    </w:p>
    <w:p>
      <w:pPr>
        <w:pStyle w:val="ListBullet"/>
        <w:spacing w:after="60"/>
        <w:ind w:left="360"/>
      </w:pPr>
      <w:r>
        <w:rPr>
          <w:rFonts w:ascii="Arial" w:hAnsi="Arial"/>
          <w:color w:val="1F1F1F"/>
          <w:sz w:val="21"/>
        </w:rPr>
        <w:t>Velocity chart: reads rm_story records for the linked agile backlog — completed vs. committed per sprint</w:t>
      </w:r>
    </w:p>
    <w:p>
      <w:pPr>
        <w:pStyle w:val="ListBullet"/>
        <w:spacing w:after="60"/>
        <w:ind w:left="360"/>
      </w:pPr>
      <w:r>
        <w:rPr>
          <w:rFonts w:ascii="Arial" w:hAnsi="Arial"/>
          <w:color w:val="1F1F1F"/>
          <w:sz w:val="21"/>
        </w:rPr>
        <w:t>Risk summary: reads sn_risk_risk records filtered by u_ecs_engagement reference</w:t>
      </w:r>
    </w:p>
    <w:p>
      <w:pPr>
        <w:pStyle w:val="ListBullet"/>
        <w:spacing w:after="60"/>
        <w:ind w:left="360"/>
      </w:pPr>
      <w:r>
        <w:rPr>
          <w:rFonts w:ascii="Arial" w:hAnsi="Arial"/>
          <w:color w:val="1F1F1F"/>
          <w:sz w:val="21"/>
        </w:rPr>
        <w:t>Decision tracker: reads sc_task records filtered by u_ecs_decision_type=true and engagement</w:t>
      </w:r>
    </w:p>
    <w:p>
      <w:pPr>
        <w:pStyle w:val="ListBullet"/>
        <w:spacing w:after="60"/>
        <w:ind w:left="360"/>
      </w:pPr>
      <w:r>
        <w:rPr>
          <w:rFonts w:ascii="Arial" w:hAnsi="Arial"/>
          <w:color w:val="1F1F1F"/>
          <w:sz w:val="21"/>
        </w:rPr>
        <w:t>Content browser: reads kb_knowledge filtered by u_ecs_ecs_content=true and role/sprint/workstream tags</w:t>
      </w:r>
    </w:p>
    <w:p>
      <w:pPr>
        <w:pStyle w:val="ListBullet"/>
        <w:spacing w:after="60"/>
        <w:ind w:left="360"/>
      </w:pPr>
      <w:r>
        <w:rPr>
          <w:rFonts w:ascii="Arial" w:hAnsi="Arial"/>
          <w:color w:val="1F1F1F"/>
          <w:sz w:val="21"/>
        </w:rPr>
        <w:t>Gate approval button: triggers approval workflow on the sprint gate project task record</w:t>
      </w:r>
    </w:p>
    <w:p>
      <w:r>
        <w:br w:type="page"/>
      </w:r>
    </w:p>
    <w:p>
      <w:pPr>
        <w:spacing w:before="360" w:after="120"/>
        <w:pBdr>
          <w:bottom w:val="single" w:sz="6" w:space="1" w:color="007A78"/>
        </w:pBdr>
      </w:pPr>
      <w:r>
        <w:rPr>
          <w:rFonts w:ascii="Arial" w:hAnsi="Arial"/>
          <w:b/>
          <w:color w:val="1B3A6B"/>
          <w:sz w:val="28"/>
        </w:rPr>
        <w:t>6. LIVING PROJECT HEALTH — SAME OUTCOME, NATIVE DATA</w:t>
      </w:r>
    </w:p>
    <w:p>
      <w:pPr>
        <w:spacing w:before="0" w:after="200"/>
        <w:jc w:val="left"/>
      </w:pPr>
      <w:r>
        <w:rPr>
          <w:rFonts w:ascii="Arial" w:hAnsi="Arial"/>
          <w:b w:val="0"/>
          <w:i w:val="0"/>
          <w:color w:val="1F1F1F"/>
          <w:sz w:val="21"/>
        </w:rPr>
        <w:t>The health scoring logic is identical to Blueprint A. A scheduled job runs nightly and writes the calculated score to u_ecs_health_score on the pm_project record. The difference is that all source data comes from queries against native tables rather than custom tables.</w:t>
      </w:r>
    </w:p>
    <w:p>
      <w:pPr>
        <w:spacing w:before="240" w:after="80"/>
      </w:pPr>
      <w:r>
        <w:rPr>
          <w:rFonts w:ascii="Arial" w:hAnsi="Arial"/>
          <w:b/>
          <w:color w:val="007A78"/>
          <w:sz w:val="24"/>
        </w:rPr>
        <w:t>6.1  Health Score Calculation (Scheduled Job)</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40"/>
        <w:gridCol w:w="2340"/>
        <w:gridCol w:w="2340"/>
        <w:gridCol w:w="2340"/>
      </w:tblGrid>
      <w:tr>
        <w:tc>
          <w:tcPr>
            <w:tcW w:type="dxa" w:w="1872"/>
            <w:shd w:val="clear" w:color="auto" w:fill="007A78"/>
          </w:tcPr>
          <w:p>
            <w:pPr>
              <w:spacing w:before="80" w:after="80"/>
              <w:ind w:left="72"/>
            </w:pPr>
            <w:r>
              <w:rPr>
                <w:rFonts w:ascii="Arial" w:hAnsi="Arial"/>
                <w:b/>
                <w:color w:val="FFFFFF"/>
                <w:sz w:val="20"/>
              </w:rPr>
              <w:t>Component</w:t>
            </w:r>
          </w:p>
        </w:tc>
        <w:tc>
          <w:tcPr>
            <w:tcW w:type="dxa" w:w="1008"/>
            <w:shd w:val="clear" w:color="auto" w:fill="007A78"/>
          </w:tcPr>
          <w:p>
            <w:pPr>
              <w:spacing w:before="80" w:after="80"/>
              <w:ind w:left="72"/>
            </w:pPr>
            <w:r>
              <w:rPr>
                <w:rFonts w:ascii="Arial" w:hAnsi="Arial"/>
                <w:b/>
                <w:color w:val="FFFFFF"/>
                <w:sz w:val="20"/>
              </w:rPr>
              <w:t>Weight</w:t>
            </w:r>
          </w:p>
        </w:tc>
        <w:tc>
          <w:tcPr>
            <w:tcW w:type="dxa" w:w="3024"/>
            <w:shd w:val="clear" w:color="auto" w:fill="007A78"/>
          </w:tcPr>
          <w:p>
            <w:pPr>
              <w:spacing w:before="80" w:after="80"/>
              <w:ind w:left="72"/>
            </w:pPr>
            <w:r>
              <w:rPr>
                <w:rFonts w:ascii="Arial" w:hAnsi="Arial"/>
                <w:b/>
                <w:color w:val="FFFFFF"/>
                <w:sz w:val="20"/>
              </w:rPr>
              <w:t>Data Source</w:t>
            </w:r>
          </w:p>
        </w:tc>
        <w:tc>
          <w:tcPr>
            <w:tcW w:type="dxa" w:w="3456"/>
            <w:shd w:val="clear" w:color="auto" w:fill="007A78"/>
          </w:tcPr>
          <w:p>
            <w:pPr>
              <w:spacing w:before="80" w:after="80"/>
              <w:ind w:left="72"/>
            </w:pPr>
            <w:r>
              <w:rPr>
                <w:rFonts w:ascii="Arial" w:hAnsi="Arial"/>
                <w:b/>
                <w:color w:val="FFFFFF"/>
                <w:sz w:val="20"/>
              </w:rPr>
              <w:t>Calculation</w:t>
            </w:r>
          </w:p>
        </w:tc>
      </w:tr>
      <w:tr>
        <w:tc>
          <w:tcPr>
            <w:tcW w:type="dxa" w:w="1872"/>
            <w:shd w:val="clear" w:color="auto" w:fill="F2F2F2"/>
          </w:tcPr>
          <w:p>
            <w:pPr>
              <w:spacing w:before="60" w:after="60"/>
              <w:ind w:left="72"/>
            </w:pPr>
            <w:r>
              <w:rPr>
                <w:rFonts w:ascii="Arial" w:hAnsi="Arial"/>
                <w:color w:val="1F1F1F"/>
                <w:sz w:val="19"/>
              </w:rPr>
              <w:t>Sprint Velocity</w:t>
            </w:r>
          </w:p>
        </w:tc>
        <w:tc>
          <w:tcPr>
            <w:tcW w:type="dxa" w:w="1008"/>
            <w:shd w:val="clear" w:color="auto" w:fill="F2F2F2"/>
          </w:tcPr>
          <w:p>
            <w:pPr>
              <w:spacing w:before="60" w:after="60"/>
              <w:ind w:left="72"/>
            </w:pPr>
            <w:r>
              <w:rPr>
                <w:rFonts w:ascii="Arial" w:hAnsi="Arial"/>
                <w:color w:val="1F1F1F"/>
                <w:sz w:val="19"/>
              </w:rPr>
              <w:t>40%</w:t>
            </w:r>
          </w:p>
        </w:tc>
        <w:tc>
          <w:tcPr>
            <w:tcW w:type="dxa" w:w="3024"/>
            <w:shd w:val="clear" w:color="auto" w:fill="F2F2F2"/>
          </w:tcPr>
          <w:p>
            <w:pPr>
              <w:spacing w:before="60" w:after="60"/>
              <w:ind w:left="72"/>
            </w:pPr>
            <w:r>
              <w:rPr>
                <w:rFonts w:ascii="Arial" w:hAnsi="Arial"/>
                <w:color w:val="1F1F1F"/>
                <w:sz w:val="19"/>
              </w:rPr>
              <w:t>rm_story where sprint = current sprint and backlog = engagement backlog</w:t>
            </w:r>
          </w:p>
        </w:tc>
        <w:tc>
          <w:tcPr>
            <w:tcW w:type="dxa" w:w="3456"/>
            <w:shd w:val="clear" w:color="auto" w:fill="F2F2F2"/>
          </w:tcPr>
          <w:p>
            <w:pPr>
              <w:spacing w:before="60" w:after="60"/>
              <w:ind w:left="72"/>
            </w:pPr>
            <w:r>
              <w:rPr>
                <w:rFonts w:ascii="Arial" w:hAnsi="Arial"/>
                <w:color w:val="1F1F1F"/>
                <w:sz w:val="19"/>
              </w:rPr>
              <w:t>Completed stories ÷ committed stories × 100</w:t>
            </w:r>
          </w:p>
        </w:tc>
      </w:tr>
      <w:tr>
        <w:tc>
          <w:tcPr>
            <w:tcW w:type="dxa" w:w="1872"/>
            <w:shd w:val="clear" w:color="auto" w:fill="FFFFFF"/>
          </w:tcPr>
          <w:p>
            <w:pPr>
              <w:spacing w:before="60" w:after="60"/>
              <w:ind w:left="72"/>
            </w:pPr>
            <w:r>
              <w:rPr>
                <w:rFonts w:ascii="Arial" w:hAnsi="Arial"/>
                <w:color w:val="1F1F1F"/>
                <w:sz w:val="19"/>
              </w:rPr>
              <w:t>Risk Posture</w:t>
            </w:r>
          </w:p>
        </w:tc>
        <w:tc>
          <w:tcPr>
            <w:tcW w:type="dxa" w:w="1008"/>
            <w:shd w:val="clear" w:color="auto" w:fill="FFFFFF"/>
          </w:tcPr>
          <w:p>
            <w:pPr>
              <w:spacing w:before="60" w:after="60"/>
              <w:ind w:left="72"/>
            </w:pPr>
            <w:r>
              <w:rPr>
                <w:rFonts w:ascii="Arial" w:hAnsi="Arial"/>
                <w:color w:val="1F1F1F"/>
                <w:sz w:val="19"/>
              </w:rPr>
              <w:t>30%</w:t>
            </w:r>
          </w:p>
        </w:tc>
        <w:tc>
          <w:tcPr>
            <w:tcW w:type="dxa" w:w="3024"/>
            <w:shd w:val="clear" w:color="auto" w:fill="FFFFFF"/>
          </w:tcPr>
          <w:p>
            <w:pPr>
              <w:spacing w:before="60" w:after="60"/>
              <w:ind w:left="72"/>
            </w:pPr>
            <w:r>
              <w:rPr>
                <w:rFonts w:ascii="Arial" w:hAnsi="Arial"/>
                <w:color w:val="1F1F1F"/>
                <w:sz w:val="19"/>
              </w:rPr>
              <w:t>sn_risk_risk where u_ecs_engagement = this project and state = Open</w:t>
            </w:r>
          </w:p>
        </w:tc>
        <w:tc>
          <w:tcPr>
            <w:tcW w:type="dxa" w:w="3456"/>
            <w:shd w:val="clear" w:color="auto" w:fill="FFFFFF"/>
          </w:tcPr>
          <w:p>
            <w:pPr>
              <w:spacing w:before="60" w:after="60"/>
              <w:ind w:left="72"/>
            </w:pPr>
            <w:r>
              <w:rPr>
                <w:rFonts w:ascii="Arial" w:hAnsi="Arial"/>
                <w:color w:val="1F1F1F"/>
                <w:sz w:val="19"/>
              </w:rPr>
              <w:t>Start 100; −15 per high risk, −5 per medium risk</w:t>
            </w:r>
          </w:p>
        </w:tc>
      </w:tr>
      <w:tr>
        <w:tc>
          <w:tcPr>
            <w:tcW w:type="dxa" w:w="1872"/>
            <w:shd w:val="clear" w:color="auto" w:fill="F2F2F2"/>
          </w:tcPr>
          <w:p>
            <w:pPr>
              <w:spacing w:before="60" w:after="60"/>
              <w:ind w:left="72"/>
            </w:pPr>
            <w:r>
              <w:rPr>
                <w:rFonts w:ascii="Arial" w:hAnsi="Arial"/>
                <w:color w:val="1F1F1F"/>
                <w:sz w:val="19"/>
              </w:rPr>
              <w:t>Decision Latency</w:t>
            </w:r>
          </w:p>
        </w:tc>
        <w:tc>
          <w:tcPr>
            <w:tcW w:type="dxa" w:w="1008"/>
            <w:shd w:val="clear" w:color="auto" w:fill="F2F2F2"/>
          </w:tcPr>
          <w:p>
            <w:pPr>
              <w:spacing w:before="60" w:after="60"/>
              <w:ind w:left="72"/>
            </w:pPr>
            <w:r>
              <w:rPr>
                <w:rFonts w:ascii="Arial" w:hAnsi="Arial"/>
                <w:color w:val="1F1F1F"/>
                <w:sz w:val="19"/>
              </w:rPr>
              <w:t>20%</w:t>
            </w:r>
          </w:p>
        </w:tc>
        <w:tc>
          <w:tcPr>
            <w:tcW w:type="dxa" w:w="3024"/>
            <w:shd w:val="clear" w:color="auto" w:fill="F2F2F2"/>
          </w:tcPr>
          <w:p>
            <w:pPr>
              <w:spacing w:before="60" w:after="60"/>
              <w:ind w:left="72"/>
            </w:pPr>
            <w:r>
              <w:rPr>
                <w:rFonts w:ascii="Arial" w:hAnsi="Arial"/>
                <w:color w:val="1F1F1F"/>
                <w:sz w:val="19"/>
              </w:rPr>
              <w:t>sc_task where u_ecs_decision_type=true, u_ecs_engagement = this project</w:t>
            </w:r>
          </w:p>
        </w:tc>
        <w:tc>
          <w:tcPr>
            <w:tcW w:type="dxa" w:w="3456"/>
            <w:shd w:val="clear" w:color="auto" w:fill="F2F2F2"/>
          </w:tcPr>
          <w:p>
            <w:pPr>
              <w:spacing w:before="60" w:after="60"/>
              <w:ind w:left="72"/>
            </w:pPr>
            <w:r>
              <w:rPr>
                <w:rFonts w:ascii="Arial" w:hAnsi="Arial"/>
                <w:color w:val="1F1F1F"/>
                <w:sz w:val="19"/>
              </w:rPr>
              <w:t>−10 per overdue decision, −15 per escalated decision</w:t>
            </w:r>
          </w:p>
        </w:tc>
      </w:tr>
      <w:tr>
        <w:tc>
          <w:tcPr>
            <w:tcW w:type="dxa" w:w="1872"/>
            <w:shd w:val="clear" w:color="auto" w:fill="FFFFFF"/>
          </w:tcPr>
          <w:p>
            <w:pPr>
              <w:spacing w:before="60" w:after="60"/>
              <w:ind w:left="72"/>
            </w:pPr>
            <w:r>
              <w:rPr>
                <w:rFonts w:ascii="Arial" w:hAnsi="Arial"/>
                <w:color w:val="1F1F1F"/>
                <w:sz w:val="19"/>
              </w:rPr>
              <w:t>Milestone Variance</w:t>
            </w:r>
          </w:p>
        </w:tc>
        <w:tc>
          <w:tcPr>
            <w:tcW w:type="dxa" w:w="1008"/>
            <w:shd w:val="clear" w:color="auto" w:fill="FFFFFF"/>
          </w:tcPr>
          <w:p>
            <w:pPr>
              <w:spacing w:before="60" w:after="60"/>
              <w:ind w:left="72"/>
            </w:pPr>
            <w:r>
              <w:rPr>
                <w:rFonts w:ascii="Arial" w:hAnsi="Arial"/>
                <w:color w:val="1F1F1F"/>
                <w:sz w:val="19"/>
              </w:rPr>
              <w:t>10%</w:t>
            </w:r>
          </w:p>
        </w:tc>
        <w:tc>
          <w:tcPr>
            <w:tcW w:type="dxa" w:w="3024"/>
            <w:shd w:val="clear" w:color="auto" w:fill="FFFFFF"/>
          </w:tcPr>
          <w:p>
            <w:pPr>
              <w:spacing w:before="60" w:after="60"/>
              <w:ind w:left="72"/>
            </w:pPr>
            <w:r>
              <w:rPr>
                <w:rFonts w:ascii="Arial" w:hAnsi="Arial"/>
                <w:color w:val="1F1F1F"/>
                <w:sz w:val="19"/>
              </w:rPr>
              <w:t>pm_milestone where project = this project</w:t>
            </w:r>
          </w:p>
        </w:tc>
        <w:tc>
          <w:tcPr>
            <w:tcW w:type="dxa" w:w="3456"/>
            <w:shd w:val="clear" w:color="auto" w:fill="FFFFFF"/>
          </w:tcPr>
          <w:p>
            <w:pPr>
              <w:spacing w:before="60" w:after="60"/>
              <w:ind w:left="72"/>
            </w:pPr>
            <w:r>
              <w:rPr>
                <w:rFonts w:ascii="Arial" w:hAnsi="Arial"/>
                <w:color w:val="1F1F1F"/>
                <w:sz w:val="19"/>
              </w:rPr>
              <w:t>Days late × −5 per week of variance</w:t>
            </w:r>
          </w:p>
        </w:tc>
      </w:tr>
      <w:tr>
        <w:tc>
          <w:tcPr>
            <w:tcW w:type="dxa" w:w="1872"/>
            <w:shd w:val="clear" w:color="auto" w:fill="F2F2F2"/>
          </w:tcPr>
          <w:p>
            <w:pPr>
              <w:spacing w:before="60" w:after="60"/>
              <w:ind w:left="72"/>
            </w:pPr>
            <w:r>
              <w:rPr>
                <w:rFonts w:ascii="Arial" w:hAnsi="Arial"/>
                <w:color w:val="1F1F1F"/>
                <w:sz w:val="19"/>
              </w:rPr>
              <w:t>RAG Threshold</w:t>
            </w:r>
          </w:p>
        </w:tc>
        <w:tc>
          <w:tcPr>
            <w:tcW w:type="dxa" w:w="1008"/>
            <w:shd w:val="clear" w:color="auto" w:fill="F2F2F2"/>
          </w:tcPr>
          <w:p>
            <w:pPr>
              <w:spacing w:before="60" w:after="60"/>
              <w:ind w:left="72"/>
            </w:pPr>
            <w:r>
              <w:rPr>
                <w:rFonts w:ascii="Arial" w:hAnsi="Arial"/>
                <w:color w:val="1F1F1F"/>
                <w:sz w:val="19"/>
              </w:rPr>
              <w:t>N/A</w:t>
            </w:r>
          </w:p>
        </w:tc>
        <w:tc>
          <w:tcPr>
            <w:tcW w:type="dxa" w:w="3024"/>
            <w:shd w:val="clear" w:color="auto" w:fill="F2F2F2"/>
          </w:tcPr>
          <w:p>
            <w:pPr>
              <w:spacing w:before="60" w:after="60"/>
              <w:ind w:left="72"/>
            </w:pPr>
            <w:r>
              <w:rPr>
                <w:rFonts w:ascii="Arial" w:hAnsi="Arial"/>
                <w:color w:val="1F1F1F"/>
                <w:sz w:val="19"/>
              </w:rPr>
              <w:t>u_ecs_health_score on pm_project</w:t>
            </w:r>
          </w:p>
        </w:tc>
        <w:tc>
          <w:tcPr>
            <w:tcW w:type="dxa" w:w="3456"/>
            <w:shd w:val="clear" w:color="auto" w:fill="F2F2F2"/>
          </w:tcPr>
          <w:p>
            <w:pPr>
              <w:spacing w:before="60" w:after="60"/>
              <w:ind w:left="72"/>
            </w:pPr>
            <w:r>
              <w:rPr>
                <w:rFonts w:ascii="Arial" w:hAnsi="Arial"/>
                <w:color w:val="1F1F1F"/>
                <w:sz w:val="19"/>
              </w:rPr>
              <w:t>Green ≥ 80 | Yellow 60–79 | Red &lt; 60</w:t>
            </w:r>
          </w:p>
        </w:tc>
      </w:tr>
    </w:tbl>
    <w:p>
      <w:pPr>
        <w:spacing w:after="120"/>
      </w:pPr>
    </w:p>
    <w:p>
      <w:pPr>
        <w:spacing w:before="240" w:after="80"/>
      </w:pPr>
      <w:r>
        <w:rPr>
          <w:rFonts w:ascii="Arial" w:hAnsi="Arial"/>
          <w:b/>
          <w:color w:val="007A78"/>
          <w:sz w:val="24"/>
        </w:rPr>
        <w:t>6.2  Spreadsheet-to-Record Mapping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2736"/>
            <w:shd w:val="clear" w:color="auto" w:fill="007A78"/>
          </w:tcPr>
          <w:p>
            <w:pPr>
              <w:spacing w:before="80" w:after="80"/>
              <w:ind w:left="72"/>
            </w:pPr>
            <w:r>
              <w:rPr>
                <w:rFonts w:ascii="Arial" w:hAnsi="Arial"/>
                <w:b/>
                <w:color w:val="FFFFFF"/>
                <w:sz w:val="20"/>
              </w:rPr>
              <w:t>Current Spreadsheet</w:t>
            </w:r>
          </w:p>
        </w:tc>
        <w:tc>
          <w:tcPr>
            <w:tcW w:type="dxa" w:w="3024"/>
            <w:shd w:val="clear" w:color="auto" w:fill="007A78"/>
          </w:tcPr>
          <w:p>
            <w:pPr>
              <w:spacing w:before="80" w:after="80"/>
              <w:ind w:left="72"/>
            </w:pPr>
            <w:r>
              <w:rPr>
                <w:rFonts w:ascii="Arial" w:hAnsi="Arial"/>
                <w:b/>
                <w:color w:val="FFFFFF"/>
                <w:sz w:val="20"/>
              </w:rPr>
              <w:t>Blueprint B Replacement</w:t>
            </w:r>
          </w:p>
        </w:tc>
        <w:tc>
          <w:tcPr>
            <w:tcW w:type="dxa" w:w="3600"/>
            <w:shd w:val="clear" w:color="auto" w:fill="007A78"/>
          </w:tcPr>
          <w:p>
            <w:pPr>
              <w:spacing w:before="80" w:after="80"/>
              <w:ind w:left="72"/>
            </w:pPr>
            <w:r>
              <w:rPr>
                <w:rFonts w:ascii="Arial" w:hAnsi="Arial"/>
                <w:b/>
                <w:color w:val="FFFFFF"/>
                <w:sz w:val="20"/>
              </w:rPr>
              <w:t>Native Table</w:t>
            </w:r>
          </w:p>
        </w:tc>
      </w:tr>
      <w:tr>
        <w:tc>
          <w:tcPr>
            <w:tcW w:type="dxa" w:w="2736"/>
            <w:shd w:val="clear" w:color="auto" w:fill="F2F2F2"/>
          </w:tcPr>
          <w:p>
            <w:pPr>
              <w:spacing w:before="60" w:after="60"/>
              <w:ind w:left="72"/>
            </w:pPr>
            <w:r>
              <w:rPr>
                <w:rFonts w:ascii="Arial" w:hAnsi="Arial"/>
                <w:color w:val="1F1F1F"/>
                <w:sz w:val="19"/>
              </w:rPr>
              <w:t>Weekly RAG Status</w:t>
            </w:r>
          </w:p>
        </w:tc>
        <w:tc>
          <w:tcPr>
            <w:tcW w:type="dxa" w:w="3024"/>
            <w:shd w:val="clear" w:color="auto" w:fill="F2F2F2"/>
          </w:tcPr>
          <w:p>
            <w:pPr>
              <w:spacing w:before="60" w:after="60"/>
              <w:ind w:left="72"/>
            </w:pPr>
            <w:r>
              <w:rPr>
                <w:rFonts w:ascii="Arial" w:hAnsi="Arial"/>
                <w:color w:val="1F1F1F"/>
                <w:sz w:val="19"/>
              </w:rPr>
              <w:t>Health card on portal — auto-calculated</w:t>
            </w:r>
          </w:p>
        </w:tc>
        <w:tc>
          <w:tcPr>
            <w:tcW w:type="dxa" w:w="3600"/>
            <w:shd w:val="clear" w:color="auto" w:fill="F2F2F2"/>
          </w:tcPr>
          <w:p>
            <w:pPr>
              <w:spacing w:before="60" w:after="60"/>
              <w:ind w:left="72"/>
            </w:pPr>
            <w:r>
              <w:rPr>
                <w:rFonts w:ascii="Arial" w:hAnsi="Arial"/>
                <w:color w:val="1F1F1F"/>
                <w:sz w:val="19"/>
              </w:rPr>
              <w:t>pm_project (u_ecs_health_score)</w:t>
            </w:r>
          </w:p>
        </w:tc>
      </w:tr>
      <w:tr>
        <w:tc>
          <w:tcPr>
            <w:tcW w:type="dxa" w:w="2736"/>
            <w:shd w:val="clear" w:color="auto" w:fill="FFFFFF"/>
          </w:tcPr>
          <w:p>
            <w:pPr>
              <w:spacing w:before="60" w:after="60"/>
              <w:ind w:left="72"/>
            </w:pPr>
            <w:r>
              <w:rPr>
                <w:rFonts w:ascii="Arial" w:hAnsi="Arial"/>
                <w:color w:val="1F1F1F"/>
                <w:sz w:val="19"/>
              </w:rPr>
              <w:t>Sprint Tracking Worksheet</w:t>
            </w:r>
          </w:p>
        </w:tc>
        <w:tc>
          <w:tcPr>
            <w:tcW w:type="dxa" w:w="3024"/>
            <w:shd w:val="clear" w:color="auto" w:fill="FFFFFF"/>
          </w:tcPr>
          <w:p>
            <w:pPr>
              <w:spacing w:before="60" w:after="60"/>
              <w:ind w:left="72"/>
            </w:pPr>
            <w:r>
              <w:rPr>
                <w:rFonts w:ascii="Arial" w:hAnsi="Arial"/>
                <w:color w:val="1F1F1F"/>
                <w:sz w:val="19"/>
              </w:rPr>
              <w:t>Sprint Gate project task + Agile board</w:t>
            </w:r>
          </w:p>
        </w:tc>
        <w:tc>
          <w:tcPr>
            <w:tcW w:type="dxa" w:w="3600"/>
            <w:shd w:val="clear" w:color="auto" w:fill="FFFFFF"/>
          </w:tcPr>
          <w:p>
            <w:pPr>
              <w:spacing w:before="60" w:after="60"/>
              <w:ind w:left="72"/>
            </w:pPr>
            <w:r>
              <w:rPr>
                <w:rFonts w:ascii="Arial" w:hAnsi="Arial"/>
                <w:color w:val="1F1F1F"/>
                <w:sz w:val="19"/>
              </w:rPr>
              <w:t>pm_project_task + rm_story</w:t>
            </w:r>
          </w:p>
        </w:tc>
      </w:tr>
      <w:tr>
        <w:tc>
          <w:tcPr>
            <w:tcW w:type="dxa" w:w="2736"/>
            <w:shd w:val="clear" w:color="auto" w:fill="F2F2F2"/>
          </w:tcPr>
          <w:p>
            <w:pPr>
              <w:spacing w:before="60" w:after="60"/>
              <w:ind w:left="72"/>
            </w:pPr>
            <w:r>
              <w:rPr>
                <w:rFonts w:ascii="Arial" w:hAnsi="Arial"/>
                <w:color w:val="1F1F1F"/>
                <w:sz w:val="19"/>
              </w:rPr>
              <w:t>Risk &amp; Issue Log</w:t>
            </w:r>
          </w:p>
        </w:tc>
        <w:tc>
          <w:tcPr>
            <w:tcW w:type="dxa" w:w="3024"/>
            <w:shd w:val="clear" w:color="auto" w:fill="F2F2F2"/>
          </w:tcPr>
          <w:p>
            <w:pPr>
              <w:spacing w:before="60" w:after="60"/>
              <w:ind w:left="72"/>
            </w:pPr>
            <w:r>
              <w:rPr>
                <w:rFonts w:ascii="Arial" w:hAnsi="Arial"/>
                <w:color w:val="1F1F1F"/>
                <w:sz w:val="19"/>
              </w:rPr>
              <w:t>Extended sn_risk_risk records</w:t>
            </w:r>
          </w:p>
        </w:tc>
        <w:tc>
          <w:tcPr>
            <w:tcW w:type="dxa" w:w="3600"/>
            <w:shd w:val="clear" w:color="auto" w:fill="F2F2F2"/>
          </w:tcPr>
          <w:p>
            <w:pPr>
              <w:spacing w:before="60" w:after="60"/>
              <w:ind w:left="72"/>
            </w:pPr>
            <w:r>
              <w:rPr>
                <w:rFonts w:ascii="Arial" w:hAnsi="Arial"/>
                <w:color w:val="1F1F1F"/>
                <w:sz w:val="19"/>
              </w:rPr>
              <w:t>sn_risk_risk (u_ecs_ fields)</w:t>
            </w:r>
          </w:p>
        </w:tc>
      </w:tr>
      <w:tr>
        <w:tc>
          <w:tcPr>
            <w:tcW w:type="dxa" w:w="2736"/>
            <w:shd w:val="clear" w:color="auto" w:fill="FFFFFF"/>
          </w:tcPr>
          <w:p>
            <w:pPr>
              <w:spacing w:before="60" w:after="60"/>
              <w:ind w:left="72"/>
            </w:pPr>
            <w:r>
              <w:rPr>
                <w:rFonts w:ascii="Arial" w:hAnsi="Arial"/>
                <w:color w:val="1F1F1F"/>
                <w:sz w:val="19"/>
              </w:rPr>
              <w:t>Decision Log</w:t>
            </w:r>
          </w:p>
        </w:tc>
        <w:tc>
          <w:tcPr>
            <w:tcW w:type="dxa" w:w="3024"/>
            <w:shd w:val="clear" w:color="auto" w:fill="FFFFFF"/>
          </w:tcPr>
          <w:p>
            <w:pPr>
              <w:spacing w:before="60" w:after="60"/>
              <w:ind w:left="72"/>
            </w:pPr>
            <w:r>
              <w:rPr>
                <w:rFonts w:ascii="Arial" w:hAnsi="Arial"/>
                <w:color w:val="1F1F1F"/>
                <w:sz w:val="19"/>
              </w:rPr>
              <w:t>Extended sc_task decision records</w:t>
            </w:r>
          </w:p>
        </w:tc>
        <w:tc>
          <w:tcPr>
            <w:tcW w:type="dxa" w:w="3600"/>
            <w:shd w:val="clear" w:color="auto" w:fill="FFFFFF"/>
          </w:tcPr>
          <w:p>
            <w:pPr>
              <w:spacing w:before="60" w:after="60"/>
              <w:ind w:left="72"/>
            </w:pPr>
            <w:r>
              <w:rPr>
                <w:rFonts w:ascii="Arial" w:hAnsi="Arial"/>
                <w:color w:val="1F1F1F"/>
                <w:sz w:val="19"/>
              </w:rPr>
              <w:t>sc_task (u_ecs_decision_type)</w:t>
            </w:r>
          </w:p>
        </w:tc>
      </w:tr>
      <w:tr>
        <w:tc>
          <w:tcPr>
            <w:tcW w:type="dxa" w:w="2736"/>
            <w:shd w:val="clear" w:color="auto" w:fill="F2F2F2"/>
          </w:tcPr>
          <w:p>
            <w:pPr>
              <w:spacing w:before="60" w:after="60"/>
              <w:ind w:left="72"/>
            </w:pPr>
            <w:r>
              <w:rPr>
                <w:rFonts w:ascii="Arial" w:hAnsi="Arial"/>
                <w:color w:val="1F1F1F"/>
                <w:sz w:val="19"/>
              </w:rPr>
              <w:t>Milestone Tracker</w:t>
            </w:r>
          </w:p>
        </w:tc>
        <w:tc>
          <w:tcPr>
            <w:tcW w:type="dxa" w:w="3024"/>
            <w:shd w:val="clear" w:color="auto" w:fill="F2F2F2"/>
          </w:tcPr>
          <w:p>
            <w:pPr>
              <w:spacing w:before="60" w:after="60"/>
              <w:ind w:left="72"/>
            </w:pPr>
            <w:r>
              <w:rPr>
                <w:rFonts w:ascii="Arial" w:hAnsi="Arial"/>
                <w:color w:val="1F1F1F"/>
                <w:sz w:val="19"/>
              </w:rPr>
              <w:t>Native SPM milestones on the project</w:t>
            </w:r>
          </w:p>
        </w:tc>
        <w:tc>
          <w:tcPr>
            <w:tcW w:type="dxa" w:w="3600"/>
            <w:shd w:val="clear" w:color="auto" w:fill="F2F2F2"/>
          </w:tcPr>
          <w:p>
            <w:pPr>
              <w:spacing w:before="60" w:after="60"/>
              <w:ind w:left="72"/>
            </w:pPr>
            <w:r>
              <w:rPr>
                <w:rFonts w:ascii="Arial" w:hAnsi="Arial"/>
                <w:color w:val="1F1F1F"/>
                <w:sz w:val="19"/>
              </w:rPr>
              <w:t>pm_milestone</w:t>
            </w:r>
          </w:p>
        </w:tc>
      </w:tr>
      <w:tr>
        <w:tc>
          <w:tcPr>
            <w:tcW w:type="dxa" w:w="2736"/>
            <w:shd w:val="clear" w:color="auto" w:fill="FFFFFF"/>
          </w:tcPr>
          <w:p>
            <w:pPr>
              <w:spacing w:before="60" w:after="60"/>
              <w:ind w:left="72"/>
            </w:pPr>
            <w:r>
              <w:rPr>
                <w:rFonts w:ascii="Arial" w:hAnsi="Arial"/>
                <w:color w:val="1F1F1F"/>
                <w:sz w:val="19"/>
              </w:rPr>
              <w:t>Velocity Chart</w:t>
            </w:r>
          </w:p>
        </w:tc>
        <w:tc>
          <w:tcPr>
            <w:tcW w:type="dxa" w:w="3024"/>
            <w:shd w:val="clear" w:color="auto" w:fill="FFFFFF"/>
          </w:tcPr>
          <w:p>
            <w:pPr>
              <w:spacing w:before="60" w:after="60"/>
              <w:ind w:left="72"/>
            </w:pPr>
            <w:r>
              <w:rPr>
                <w:rFonts w:ascii="Arial" w:hAnsi="Arial"/>
                <w:color w:val="1F1F1F"/>
                <w:sz w:val="19"/>
              </w:rPr>
              <w:t>PA chart or native report on rm_story</w:t>
            </w:r>
          </w:p>
        </w:tc>
        <w:tc>
          <w:tcPr>
            <w:tcW w:type="dxa" w:w="3600"/>
            <w:shd w:val="clear" w:color="auto" w:fill="FFFFFF"/>
          </w:tcPr>
          <w:p>
            <w:pPr>
              <w:spacing w:before="60" w:after="60"/>
              <w:ind w:left="72"/>
            </w:pPr>
            <w:r>
              <w:rPr>
                <w:rFonts w:ascii="Arial" w:hAnsi="Arial"/>
                <w:color w:val="1F1F1F"/>
                <w:sz w:val="19"/>
              </w:rPr>
              <w:t>rm_story</w:t>
            </w:r>
          </w:p>
        </w:tc>
      </w:tr>
      <w:tr>
        <w:tc>
          <w:tcPr>
            <w:tcW w:type="dxa" w:w="2736"/>
            <w:shd w:val="clear" w:color="auto" w:fill="F2F2F2"/>
          </w:tcPr>
          <w:p>
            <w:pPr>
              <w:spacing w:before="60" w:after="60"/>
              <w:ind w:left="72"/>
            </w:pPr>
            <w:r>
              <w:rPr>
                <w:rFonts w:ascii="Arial" w:hAnsi="Arial"/>
                <w:color w:val="1F1F1F"/>
                <w:sz w:val="19"/>
              </w:rPr>
              <w:t>Project Health Summary</w:t>
            </w:r>
          </w:p>
        </w:tc>
        <w:tc>
          <w:tcPr>
            <w:tcW w:type="dxa" w:w="3024"/>
            <w:shd w:val="clear" w:color="auto" w:fill="F2F2F2"/>
          </w:tcPr>
          <w:p>
            <w:pPr>
              <w:spacing w:before="60" w:after="60"/>
              <w:ind w:left="72"/>
            </w:pPr>
            <w:r>
              <w:rPr>
                <w:rFonts w:ascii="Arial" w:hAnsi="Arial"/>
                <w:color w:val="1F1F1F"/>
                <w:sz w:val="19"/>
              </w:rPr>
              <w:t>Engagement health card on Sponsor portal</w:t>
            </w:r>
          </w:p>
        </w:tc>
        <w:tc>
          <w:tcPr>
            <w:tcW w:type="dxa" w:w="3600"/>
            <w:shd w:val="clear" w:color="auto" w:fill="F2F2F2"/>
          </w:tcPr>
          <w:p>
            <w:pPr>
              <w:spacing w:before="60" w:after="60"/>
              <w:ind w:left="72"/>
            </w:pPr>
            <w:r>
              <w:rPr>
                <w:rFonts w:ascii="Arial" w:hAnsi="Arial"/>
                <w:color w:val="1F1F1F"/>
                <w:sz w:val="19"/>
              </w:rPr>
              <w:t>pm_project (u_ecs_health_score, u_ecs_health_indicator)</w:t>
            </w:r>
          </w:p>
        </w:tc>
      </w:tr>
    </w:tbl>
    <w:p>
      <w:pPr>
        <w:spacing w:after="120"/>
      </w:pPr>
    </w:p>
    <w:p>
      <w:r>
        <w:br w:type="page"/>
      </w:r>
    </w:p>
    <w:p>
      <w:pPr>
        <w:spacing w:before="360" w:after="120"/>
        <w:pBdr>
          <w:bottom w:val="single" w:sz="6" w:space="1" w:color="007A78"/>
        </w:pBdr>
      </w:pPr>
      <w:r>
        <w:rPr>
          <w:rFonts w:ascii="Arial" w:hAnsi="Arial"/>
          <w:b/>
          <w:color w:val="1B3A6B"/>
          <w:sz w:val="28"/>
        </w:rPr>
        <w:t>7. SKU IMPLICATIONS</w:t>
      </w:r>
    </w:p>
    <w:p>
      <w:pPr>
        <w:spacing w:before="0" w:after="200"/>
        <w:jc w:val="left"/>
      </w:pPr>
      <w:r>
        <w:rPr>
          <w:rFonts w:ascii="Arial" w:hAnsi="Arial"/>
          <w:b w:val="0"/>
          <w:i w:val="0"/>
          <w:color w:val="1F1F1F"/>
          <w:sz w:val="21"/>
        </w:rPr>
        <w:t>A core advantage of Blueprint B is that it avoids requiring the App Engine SKU on the customer instance. The following table maps each capability to its licensing requirement.</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2880"/>
            <w:shd w:val="clear" w:color="auto" w:fill="007A78"/>
          </w:tcPr>
          <w:p>
            <w:pPr>
              <w:spacing w:before="80" w:after="80"/>
              <w:ind w:left="72"/>
            </w:pPr>
            <w:r>
              <w:rPr>
                <w:rFonts w:ascii="Arial" w:hAnsi="Arial"/>
                <w:b/>
                <w:color w:val="FFFFFF"/>
                <w:sz w:val="20"/>
              </w:rPr>
              <w:t>Capability</w:t>
            </w:r>
          </w:p>
        </w:tc>
        <w:tc>
          <w:tcPr>
            <w:tcW w:type="dxa" w:w="1872"/>
            <w:shd w:val="clear" w:color="auto" w:fill="007A78"/>
          </w:tcPr>
          <w:p>
            <w:pPr>
              <w:spacing w:before="80" w:after="80"/>
              <w:ind w:left="72"/>
            </w:pPr>
            <w:r>
              <w:rPr>
                <w:rFonts w:ascii="Arial" w:hAnsi="Arial"/>
                <w:b/>
                <w:color w:val="FFFFFF"/>
                <w:sz w:val="20"/>
              </w:rPr>
              <w:t>Required SKU</w:t>
            </w:r>
          </w:p>
        </w:tc>
        <w:tc>
          <w:tcPr>
            <w:tcW w:type="dxa" w:w="4608"/>
            <w:shd w:val="clear" w:color="auto" w:fill="007A78"/>
          </w:tcPr>
          <w:p>
            <w:pPr>
              <w:spacing w:before="80" w:after="80"/>
              <w:ind w:left="72"/>
            </w:pPr>
            <w:r>
              <w:rPr>
                <w:rFonts w:ascii="Arial" w:hAnsi="Arial"/>
                <w:b/>
                <w:color w:val="FFFFFF"/>
                <w:sz w:val="20"/>
              </w:rPr>
              <w:t>Notes</w:t>
            </w:r>
          </w:p>
        </w:tc>
      </w:tr>
      <w:tr>
        <w:tc>
          <w:tcPr>
            <w:tcW w:type="dxa" w:w="2880"/>
            <w:shd w:val="clear" w:color="auto" w:fill="F2F2F2"/>
          </w:tcPr>
          <w:p>
            <w:pPr>
              <w:spacing w:before="60" w:after="60"/>
              <w:ind w:left="72"/>
            </w:pPr>
            <w:r>
              <w:rPr>
                <w:rFonts w:ascii="Arial" w:hAnsi="Arial"/>
                <w:color w:val="1F1F1F"/>
                <w:sz w:val="19"/>
              </w:rPr>
              <w:t>Table field extensions (u_ecs_ fields)</w:t>
            </w:r>
          </w:p>
        </w:tc>
        <w:tc>
          <w:tcPr>
            <w:tcW w:type="dxa" w:w="1872"/>
            <w:shd w:val="clear" w:color="auto" w:fill="F2F2F2"/>
          </w:tcPr>
          <w:p>
            <w:pPr>
              <w:spacing w:before="60" w:after="60"/>
              <w:ind w:left="72"/>
            </w:pPr>
            <w:r>
              <w:rPr>
                <w:rFonts w:ascii="Arial" w:hAnsi="Arial"/>
                <w:color w:val="1F1F1F"/>
                <w:sz w:val="19"/>
              </w:rPr>
              <w:t>Base Platform</w:t>
            </w:r>
          </w:p>
        </w:tc>
        <w:tc>
          <w:tcPr>
            <w:tcW w:type="dxa" w:w="4608"/>
            <w:shd w:val="clear" w:color="auto" w:fill="F2F2F2"/>
          </w:tcPr>
          <w:p>
            <w:pPr>
              <w:spacing w:before="60" w:after="60"/>
              <w:ind w:left="72"/>
            </w:pPr>
            <w:r>
              <w:rPr>
                <w:rFonts w:ascii="Arial" w:hAnsi="Arial"/>
                <w:color w:val="1F1F1F"/>
                <w:sz w:val="19"/>
              </w:rPr>
              <w:t>Adding fields to native tables is standard platform capability — no additional SKU</w:t>
            </w:r>
          </w:p>
        </w:tc>
      </w:tr>
      <w:tr>
        <w:tc>
          <w:tcPr>
            <w:tcW w:type="dxa" w:w="2880"/>
            <w:shd w:val="clear" w:color="auto" w:fill="FFFFFF"/>
          </w:tcPr>
          <w:p>
            <w:pPr>
              <w:spacing w:before="60" w:after="60"/>
              <w:ind w:left="72"/>
            </w:pPr>
            <w:r>
              <w:rPr>
                <w:rFonts w:ascii="Arial" w:hAnsi="Arial"/>
                <w:color w:val="1F1F1F"/>
                <w:sz w:val="19"/>
              </w:rPr>
              <w:t>Service Portal pages</w:t>
            </w:r>
          </w:p>
        </w:tc>
        <w:tc>
          <w:tcPr>
            <w:tcW w:type="dxa" w:w="1872"/>
            <w:shd w:val="clear" w:color="auto" w:fill="FFFFFF"/>
          </w:tcPr>
          <w:p>
            <w:pPr>
              <w:spacing w:before="60" w:after="60"/>
              <w:ind w:left="72"/>
            </w:pPr>
            <w:r>
              <w:rPr>
                <w:rFonts w:ascii="Arial" w:hAnsi="Arial"/>
                <w:color w:val="1F1F1F"/>
                <w:sz w:val="19"/>
              </w:rPr>
              <w:t>Base Platform</w:t>
            </w:r>
          </w:p>
        </w:tc>
        <w:tc>
          <w:tcPr>
            <w:tcW w:type="dxa" w:w="4608"/>
            <w:shd w:val="clear" w:color="auto" w:fill="FFFFFF"/>
          </w:tcPr>
          <w:p>
            <w:pPr>
              <w:spacing w:before="60" w:after="60"/>
              <w:ind w:left="72"/>
            </w:pPr>
            <w:r>
              <w:rPr>
                <w:rFonts w:ascii="Arial" w:hAnsi="Arial"/>
                <w:color w:val="1F1F1F"/>
                <w:sz w:val="19"/>
              </w:rPr>
              <w:t>Portal framework is included in all ServiceNow platform licenses</w:t>
            </w:r>
          </w:p>
        </w:tc>
      </w:tr>
      <w:tr>
        <w:tc>
          <w:tcPr>
            <w:tcW w:type="dxa" w:w="2880"/>
            <w:shd w:val="clear" w:color="auto" w:fill="F2F2F2"/>
          </w:tcPr>
          <w:p>
            <w:pPr>
              <w:spacing w:before="60" w:after="60"/>
              <w:ind w:left="72"/>
            </w:pPr>
            <w:r>
              <w:rPr>
                <w:rFonts w:ascii="Arial" w:hAnsi="Arial"/>
                <w:color w:val="1F1F1F"/>
                <w:sz w:val="19"/>
              </w:rPr>
              <w:t>Business Rules / Scheduled Jobs</w:t>
            </w:r>
          </w:p>
        </w:tc>
        <w:tc>
          <w:tcPr>
            <w:tcW w:type="dxa" w:w="1872"/>
            <w:shd w:val="clear" w:color="auto" w:fill="F2F2F2"/>
          </w:tcPr>
          <w:p>
            <w:pPr>
              <w:spacing w:before="60" w:after="60"/>
              <w:ind w:left="72"/>
            </w:pPr>
            <w:r>
              <w:rPr>
                <w:rFonts w:ascii="Arial" w:hAnsi="Arial"/>
                <w:color w:val="1F1F1F"/>
                <w:sz w:val="19"/>
              </w:rPr>
              <w:t>Base Platform</w:t>
            </w:r>
          </w:p>
        </w:tc>
        <w:tc>
          <w:tcPr>
            <w:tcW w:type="dxa" w:w="4608"/>
            <w:shd w:val="clear" w:color="auto" w:fill="F2F2F2"/>
          </w:tcPr>
          <w:p>
            <w:pPr>
              <w:spacing w:before="60" w:after="60"/>
              <w:ind w:left="72"/>
            </w:pPr>
            <w:r>
              <w:rPr>
                <w:rFonts w:ascii="Arial" w:hAnsi="Arial"/>
                <w:color w:val="1F1F1F"/>
                <w:sz w:val="19"/>
              </w:rPr>
              <w:t>Standard scripting capability — no additional SKU</w:t>
            </w:r>
          </w:p>
        </w:tc>
      </w:tr>
      <w:tr>
        <w:tc>
          <w:tcPr>
            <w:tcW w:type="dxa" w:w="2880"/>
            <w:shd w:val="clear" w:color="auto" w:fill="FFFFFF"/>
          </w:tcPr>
          <w:p>
            <w:pPr>
              <w:spacing w:before="60" w:after="60"/>
              <w:ind w:left="72"/>
            </w:pPr>
            <w:r>
              <w:rPr>
                <w:rFonts w:ascii="Arial" w:hAnsi="Arial"/>
                <w:color w:val="1F1F1F"/>
                <w:sz w:val="19"/>
              </w:rPr>
              <w:t>Flow Designer workflows</w:t>
            </w:r>
          </w:p>
        </w:tc>
        <w:tc>
          <w:tcPr>
            <w:tcW w:type="dxa" w:w="1872"/>
            <w:shd w:val="clear" w:color="auto" w:fill="FFFFFF"/>
          </w:tcPr>
          <w:p>
            <w:pPr>
              <w:spacing w:before="60" w:after="60"/>
              <w:ind w:left="72"/>
            </w:pPr>
            <w:r>
              <w:rPr>
                <w:rFonts w:ascii="Arial" w:hAnsi="Arial"/>
                <w:color w:val="1F1F1F"/>
                <w:sz w:val="19"/>
              </w:rPr>
              <w:t>Base Platform</w:t>
            </w:r>
          </w:p>
        </w:tc>
        <w:tc>
          <w:tcPr>
            <w:tcW w:type="dxa" w:w="4608"/>
            <w:shd w:val="clear" w:color="auto" w:fill="FFFFFF"/>
          </w:tcPr>
          <w:p>
            <w:pPr>
              <w:spacing w:before="60" w:after="60"/>
              <w:ind w:left="72"/>
            </w:pPr>
            <w:r>
              <w:rPr>
                <w:rFonts w:ascii="Arial" w:hAnsi="Arial"/>
                <w:color w:val="1F1F1F"/>
                <w:sz w:val="19"/>
              </w:rPr>
              <w:t>Flow Designer is included in all current platform versions</w:t>
            </w:r>
          </w:p>
        </w:tc>
      </w:tr>
      <w:tr>
        <w:tc>
          <w:tcPr>
            <w:tcW w:type="dxa" w:w="2880"/>
            <w:shd w:val="clear" w:color="auto" w:fill="F2F2F2"/>
          </w:tcPr>
          <w:p>
            <w:pPr>
              <w:spacing w:before="60" w:after="60"/>
              <w:ind w:left="72"/>
            </w:pPr>
            <w:r>
              <w:rPr>
                <w:rFonts w:ascii="Arial" w:hAnsi="Arial"/>
                <w:color w:val="1F1F1F"/>
                <w:sz w:val="19"/>
              </w:rPr>
              <w:t>Agile Development integration</w:t>
            </w:r>
          </w:p>
        </w:tc>
        <w:tc>
          <w:tcPr>
            <w:tcW w:type="dxa" w:w="1872"/>
            <w:shd w:val="clear" w:color="auto" w:fill="F2F2F2"/>
          </w:tcPr>
          <w:p>
            <w:pPr>
              <w:spacing w:before="60" w:after="60"/>
              <w:ind w:left="72"/>
            </w:pPr>
            <w:r>
              <w:rPr>
                <w:rFonts w:ascii="Arial" w:hAnsi="Arial"/>
                <w:color w:val="1F1F1F"/>
                <w:sz w:val="19"/>
              </w:rPr>
              <w:t>ITSM or SPM</w:t>
            </w:r>
          </w:p>
        </w:tc>
        <w:tc>
          <w:tcPr>
            <w:tcW w:type="dxa" w:w="4608"/>
            <w:shd w:val="clear" w:color="auto" w:fill="F2F2F2"/>
          </w:tcPr>
          <w:p>
            <w:pPr>
              <w:spacing w:before="60" w:after="60"/>
              <w:ind w:left="72"/>
            </w:pPr>
            <w:r>
              <w:rPr>
                <w:rFonts w:ascii="Arial" w:hAnsi="Arial"/>
                <w:color w:val="1F1F1F"/>
                <w:sz w:val="19"/>
              </w:rPr>
              <w:t>Agile module may require ITSM Pro or SPM license — confirm with customer contract</w:t>
            </w:r>
          </w:p>
        </w:tc>
      </w:tr>
      <w:tr>
        <w:tc>
          <w:tcPr>
            <w:tcW w:type="dxa" w:w="2880"/>
            <w:shd w:val="clear" w:color="auto" w:fill="FFFFFF"/>
          </w:tcPr>
          <w:p>
            <w:pPr>
              <w:spacing w:before="60" w:after="60"/>
              <w:ind w:left="72"/>
            </w:pPr>
            <w:r>
              <w:rPr>
                <w:rFonts w:ascii="Arial" w:hAnsi="Arial"/>
                <w:color w:val="1F1F1F"/>
                <w:sz w:val="19"/>
              </w:rPr>
              <w:t>SPM Project &amp; Milestones</w:t>
            </w:r>
          </w:p>
        </w:tc>
        <w:tc>
          <w:tcPr>
            <w:tcW w:type="dxa" w:w="1872"/>
            <w:shd w:val="clear" w:color="auto" w:fill="FFFFFF"/>
          </w:tcPr>
          <w:p>
            <w:pPr>
              <w:spacing w:before="60" w:after="60"/>
              <w:ind w:left="72"/>
            </w:pPr>
            <w:r>
              <w:rPr>
                <w:rFonts w:ascii="Arial" w:hAnsi="Arial"/>
                <w:color w:val="1F1F1F"/>
                <w:sz w:val="19"/>
              </w:rPr>
              <w:t>SPM</w:t>
            </w:r>
          </w:p>
        </w:tc>
        <w:tc>
          <w:tcPr>
            <w:tcW w:type="dxa" w:w="4608"/>
            <w:shd w:val="clear" w:color="auto" w:fill="FFFFFF"/>
          </w:tcPr>
          <w:p>
            <w:pPr>
              <w:spacing w:before="60" w:after="60"/>
              <w:ind w:left="72"/>
            </w:pPr>
            <w:r>
              <w:rPr>
                <w:rFonts w:ascii="Arial" w:hAnsi="Arial"/>
                <w:color w:val="1F1F1F"/>
                <w:sz w:val="19"/>
              </w:rPr>
              <w:t>Strategic Portfolio Management requires SPM license or equivalent PPM entitlement</w:t>
            </w:r>
          </w:p>
        </w:tc>
      </w:tr>
      <w:tr>
        <w:tc>
          <w:tcPr>
            <w:tcW w:type="dxa" w:w="2880"/>
            <w:shd w:val="clear" w:color="auto" w:fill="F2F2F2"/>
          </w:tcPr>
          <w:p>
            <w:pPr>
              <w:spacing w:before="60" w:after="60"/>
              <w:ind w:left="72"/>
            </w:pPr>
            <w:r>
              <w:rPr>
                <w:rFonts w:ascii="Arial" w:hAnsi="Arial"/>
                <w:color w:val="1F1F1F"/>
                <w:sz w:val="19"/>
              </w:rPr>
              <w:t>Risk Management (sn_risk_risk)</w:t>
            </w:r>
          </w:p>
        </w:tc>
        <w:tc>
          <w:tcPr>
            <w:tcW w:type="dxa" w:w="1872"/>
            <w:shd w:val="clear" w:color="auto" w:fill="F2F2F2"/>
          </w:tcPr>
          <w:p>
            <w:pPr>
              <w:spacing w:before="60" w:after="60"/>
              <w:ind w:left="72"/>
            </w:pPr>
            <w:r>
              <w:rPr>
                <w:rFonts w:ascii="Arial" w:hAnsi="Arial"/>
                <w:color w:val="1F1F1F"/>
                <w:sz w:val="19"/>
              </w:rPr>
              <w:t>GRC</w:t>
            </w:r>
          </w:p>
        </w:tc>
        <w:tc>
          <w:tcPr>
            <w:tcW w:type="dxa" w:w="4608"/>
            <w:shd w:val="clear" w:color="auto" w:fill="F2F2F2"/>
          </w:tcPr>
          <w:p>
            <w:pPr>
              <w:spacing w:before="60" w:after="60"/>
              <w:ind w:left="72"/>
            </w:pPr>
            <w:r>
              <w:rPr>
                <w:rFonts w:ascii="Arial" w:hAnsi="Arial"/>
                <w:color w:val="1F1F1F"/>
                <w:sz w:val="19"/>
              </w:rPr>
              <w:t>If customer does not have GRC, fall back to extending Task table for risk records</w:t>
            </w:r>
          </w:p>
        </w:tc>
      </w:tr>
      <w:tr>
        <w:tc>
          <w:tcPr>
            <w:tcW w:type="dxa" w:w="2880"/>
            <w:shd w:val="clear" w:color="auto" w:fill="FFFFFF"/>
          </w:tcPr>
          <w:p>
            <w:pPr>
              <w:spacing w:before="60" w:after="60"/>
              <w:ind w:left="72"/>
            </w:pPr>
            <w:r>
              <w:rPr>
                <w:rFonts w:ascii="Arial" w:hAnsi="Arial"/>
                <w:color w:val="1F1F1F"/>
                <w:sz w:val="19"/>
              </w:rPr>
              <w:t>Performance Analytics widgets</w:t>
            </w:r>
          </w:p>
        </w:tc>
        <w:tc>
          <w:tcPr>
            <w:tcW w:type="dxa" w:w="1872"/>
            <w:shd w:val="clear" w:color="auto" w:fill="FFFFFF"/>
          </w:tcPr>
          <w:p>
            <w:pPr>
              <w:spacing w:before="60" w:after="60"/>
              <w:ind w:left="72"/>
            </w:pPr>
            <w:r>
              <w:rPr>
                <w:rFonts w:ascii="Arial" w:hAnsi="Arial"/>
                <w:color w:val="1F1F1F"/>
                <w:sz w:val="19"/>
              </w:rPr>
              <w:t>PA</w:t>
            </w:r>
          </w:p>
        </w:tc>
        <w:tc>
          <w:tcPr>
            <w:tcW w:type="dxa" w:w="4608"/>
            <w:shd w:val="clear" w:color="auto" w:fill="FFFFFF"/>
          </w:tcPr>
          <w:p>
            <w:pPr>
              <w:spacing w:before="60" w:after="60"/>
              <w:ind w:left="72"/>
            </w:pPr>
            <w:r>
              <w:rPr>
                <w:rFonts w:ascii="Arial" w:hAnsi="Arial"/>
                <w:color w:val="1F1F1F"/>
                <w:sz w:val="19"/>
              </w:rPr>
              <w:t>Optional — fall back to native reports if PA not licensed</w:t>
            </w:r>
          </w:p>
        </w:tc>
      </w:tr>
      <w:tr>
        <w:tc>
          <w:tcPr>
            <w:tcW w:type="dxa" w:w="2880"/>
            <w:shd w:val="clear" w:color="auto" w:fill="F2F2F2"/>
          </w:tcPr>
          <w:p>
            <w:pPr>
              <w:spacing w:before="60" w:after="60"/>
              <w:ind w:left="72"/>
            </w:pPr>
            <w:r>
              <w:rPr>
                <w:rFonts w:ascii="Arial" w:hAnsi="Arial"/>
                <w:color w:val="1F1F1F"/>
                <w:sz w:val="19"/>
              </w:rPr>
              <w:t>Virtual Agent topics</w:t>
            </w:r>
          </w:p>
        </w:tc>
        <w:tc>
          <w:tcPr>
            <w:tcW w:type="dxa" w:w="1872"/>
            <w:shd w:val="clear" w:color="auto" w:fill="F2F2F2"/>
          </w:tcPr>
          <w:p>
            <w:pPr>
              <w:spacing w:before="60" w:after="60"/>
              <w:ind w:left="72"/>
            </w:pPr>
            <w:r>
              <w:rPr>
                <w:rFonts w:ascii="Arial" w:hAnsi="Arial"/>
                <w:color w:val="1F1F1F"/>
                <w:sz w:val="19"/>
              </w:rPr>
              <w:t>VA / ITSM Pro</w:t>
            </w:r>
          </w:p>
        </w:tc>
        <w:tc>
          <w:tcPr>
            <w:tcW w:type="dxa" w:w="4608"/>
            <w:shd w:val="clear" w:color="auto" w:fill="F2F2F2"/>
          </w:tcPr>
          <w:p>
            <w:pPr>
              <w:spacing w:before="60" w:after="60"/>
              <w:ind w:left="72"/>
            </w:pPr>
            <w:r>
              <w:rPr>
                <w:rFonts w:ascii="Arial" w:hAnsi="Arial"/>
                <w:color w:val="1F1F1F"/>
                <w:sz w:val="19"/>
              </w:rPr>
              <w:t>Virtual Agent requires VA SKU or ITSM Professional — confirm before building VA topics</w:t>
            </w:r>
          </w:p>
        </w:tc>
      </w:tr>
      <w:tr>
        <w:tc>
          <w:tcPr>
            <w:tcW w:type="dxa" w:w="2880"/>
            <w:shd w:val="clear" w:color="auto" w:fill="FFFFFF"/>
          </w:tcPr>
          <w:p>
            <w:pPr>
              <w:spacing w:before="60" w:after="60"/>
              <w:ind w:left="72"/>
            </w:pPr>
            <w:r>
              <w:rPr>
                <w:rFonts w:ascii="Arial" w:hAnsi="Arial"/>
                <w:color w:val="1F1F1F"/>
                <w:sz w:val="19"/>
              </w:rPr>
              <w:t>App Engine (custom tables)</w:t>
            </w:r>
          </w:p>
        </w:tc>
        <w:tc>
          <w:tcPr>
            <w:tcW w:type="dxa" w:w="1872"/>
            <w:shd w:val="clear" w:color="auto" w:fill="FFFFFF"/>
          </w:tcPr>
          <w:p>
            <w:pPr>
              <w:spacing w:before="60" w:after="60"/>
              <w:ind w:left="72"/>
            </w:pPr>
            <w:r>
              <w:rPr>
                <w:rFonts w:ascii="Arial" w:hAnsi="Arial"/>
                <w:color w:val="1F1F1F"/>
                <w:sz w:val="19"/>
              </w:rPr>
              <w:t>NOT REQUIRED</w:t>
            </w:r>
          </w:p>
        </w:tc>
        <w:tc>
          <w:tcPr>
            <w:tcW w:type="dxa" w:w="4608"/>
            <w:shd w:val="clear" w:color="auto" w:fill="FFFFFF"/>
          </w:tcPr>
          <w:p>
            <w:pPr>
              <w:spacing w:before="60" w:after="60"/>
              <w:ind w:left="72"/>
            </w:pPr>
            <w:r>
              <w:rPr>
                <w:rFonts w:ascii="Arial" w:hAnsi="Arial"/>
                <w:color w:val="1F1F1F"/>
                <w:sz w:val="19"/>
              </w:rPr>
              <w:t>Blueprint B's key advantage — no App Engine SKU needed</w:t>
            </w:r>
          </w:p>
        </w:tc>
      </w:tr>
    </w:tbl>
    <w:p>
      <w:pPr>
        <w:spacing w:after="12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val="clear" w:color="auto" w:fill="E8F5F5"/>
          </w:tcPr>
          <w:p>
            <w:pPr>
              <w:spacing w:before="120" w:after="40"/>
              <w:ind w:left="144"/>
            </w:pPr>
            <w:r>
              <w:rPr>
                <w:rFonts w:ascii="Arial" w:hAnsi="Arial"/>
                <w:b/>
                <w:color w:val="007A78"/>
                <w:sz w:val="20"/>
              </w:rPr>
              <w:t xml:space="preserve">Minimum viable baseline for Blueprint B:  </w:t>
            </w:r>
            <w:r>
              <w:rPr>
                <w:rFonts w:ascii="Arial" w:hAnsi="Arial"/>
                <w:color w:val="1F1F1F"/>
                <w:sz w:val="20"/>
              </w:rPr>
              <w:t>Base Platform + SPM + ITSM. These three are almost always present in any ECS customer engagement. Blueprint B can be deployed on this baseline without any additional licensing conversation. VA and PA are additive enhancements if the customer has them.</w:t>
            </w:r>
          </w:p>
          <w:p>
            <w:pPr>
              <w:spacing w:after="120"/>
            </w:pPr>
          </w:p>
        </w:tc>
      </w:tr>
    </w:tbl>
    <w:p>
      <w:pPr>
        <w:spacing w:after="80"/>
      </w:pPr>
    </w:p>
    <w:p>
      <w:r>
        <w:br w:type="page"/>
      </w:r>
    </w:p>
    <w:p>
      <w:pPr>
        <w:spacing w:before="360" w:after="120"/>
        <w:pBdr>
          <w:bottom w:val="single" w:sz="6" w:space="1" w:color="007A78"/>
        </w:pBdr>
      </w:pPr>
      <w:r>
        <w:rPr>
          <w:rFonts w:ascii="Arial" w:hAnsi="Arial"/>
          <w:b/>
          <w:color w:val="1B3A6B"/>
          <w:sz w:val="28"/>
        </w:rPr>
        <w:t>8. NATIVE MODULE INTEGRATION</w:t>
      </w:r>
    </w:p>
    <w:p>
      <w:pPr>
        <w:spacing w:before="0" w:after="200"/>
        <w:jc w:val="left"/>
      </w:pPr>
      <w:r>
        <w:rPr>
          <w:rFonts w:ascii="Arial" w:hAnsi="Arial"/>
          <w:b w:val="0"/>
          <w:i w:val="0"/>
          <w:color w:val="1F1F1F"/>
          <w:sz w:val="21"/>
        </w:rPr>
        <w:t>Integration approach is the same as Blueprint A. The platform reads from native modules and surfaces their data in a delivery context. Because Blueprint B extends native tables, some integrations are even simpler — no cross-scope queries needed.</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2016"/>
            <w:shd w:val="clear" w:color="auto" w:fill="007A78"/>
          </w:tcPr>
          <w:p>
            <w:pPr>
              <w:spacing w:before="80" w:after="80"/>
              <w:ind w:left="72"/>
            </w:pPr>
            <w:r>
              <w:rPr>
                <w:rFonts w:ascii="Arial" w:hAnsi="Arial"/>
                <w:b/>
                <w:color w:val="FFFFFF"/>
                <w:sz w:val="20"/>
              </w:rPr>
              <w:t>Module</w:t>
            </w:r>
          </w:p>
        </w:tc>
        <w:tc>
          <w:tcPr>
            <w:tcW w:type="dxa" w:w="3600"/>
            <w:shd w:val="clear" w:color="auto" w:fill="007A78"/>
          </w:tcPr>
          <w:p>
            <w:pPr>
              <w:spacing w:before="80" w:after="80"/>
              <w:ind w:left="72"/>
            </w:pPr>
            <w:r>
              <w:rPr>
                <w:rFonts w:ascii="Arial" w:hAnsi="Arial"/>
                <w:b/>
                <w:color w:val="FFFFFF"/>
                <w:sz w:val="20"/>
              </w:rPr>
              <w:t>Integration Approach</w:t>
            </w:r>
          </w:p>
        </w:tc>
        <w:tc>
          <w:tcPr>
            <w:tcW w:type="dxa" w:w="3744"/>
            <w:shd w:val="clear" w:color="auto" w:fill="007A78"/>
          </w:tcPr>
          <w:p>
            <w:pPr>
              <w:spacing w:before="80" w:after="80"/>
              <w:ind w:left="72"/>
            </w:pPr>
            <w:r>
              <w:rPr>
                <w:rFonts w:ascii="Arial" w:hAnsi="Arial"/>
                <w:b/>
                <w:color w:val="FFFFFF"/>
                <w:sz w:val="20"/>
              </w:rPr>
              <w:t>Blueprint B Advantage vs. A</w:t>
            </w:r>
          </w:p>
        </w:tc>
      </w:tr>
      <w:tr>
        <w:tc>
          <w:tcPr>
            <w:tcW w:type="dxa" w:w="2016"/>
            <w:shd w:val="clear" w:color="auto" w:fill="F2F2F2"/>
          </w:tcPr>
          <w:p>
            <w:pPr>
              <w:spacing w:before="60" w:after="60"/>
              <w:ind w:left="72"/>
            </w:pPr>
            <w:r>
              <w:rPr>
                <w:rFonts w:ascii="Arial" w:hAnsi="Arial"/>
                <w:color w:val="1F1F1F"/>
                <w:sz w:val="19"/>
              </w:rPr>
              <w:t>Agile Development</w:t>
            </w:r>
          </w:p>
        </w:tc>
        <w:tc>
          <w:tcPr>
            <w:tcW w:type="dxa" w:w="3600"/>
            <w:shd w:val="clear" w:color="auto" w:fill="F2F2F2"/>
          </w:tcPr>
          <w:p>
            <w:pPr>
              <w:spacing w:before="60" w:after="60"/>
              <w:ind w:left="72"/>
            </w:pPr>
            <w:r>
              <w:rPr>
                <w:rFonts w:ascii="Arial" w:hAnsi="Arial"/>
                <w:color w:val="1F1F1F"/>
                <w:sz w:val="19"/>
              </w:rPr>
              <w:t>GlideRecord query on rm_story filtered by backlog reference stored on pm_project extension</w:t>
            </w:r>
          </w:p>
        </w:tc>
        <w:tc>
          <w:tcPr>
            <w:tcW w:type="dxa" w:w="3744"/>
            <w:shd w:val="clear" w:color="auto" w:fill="F2F2F2"/>
          </w:tcPr>
          <w:p>
            <w:pPr>
              <w:spacing w:before="60" w:after="60"/>
              <w:ind w:left="72"/>
            </w:pPr>
            <w:r>
              <w:rPr>
                <w:rFonts w:ascii="Arial" w:hAnsi="Arial"/>
                <w:color w:val="1F1F1F"/>
                <w:sz w:val="19"/>
              </w:rPr>
              <w:t>Slightly simpler — no cross-scope reference; backlog linked directly to native project record</w:t>
            </w:r>
          </w:p>
        </w:tc>
      </w:tr>
      <w:tr>
        <w:tc>
          <w:tcPr>
            <w:tcW w:type="dxa" w:w="2016"/>
            <w:shd w:val="clear" w:color="auto" w:fill="FFFFFF"/>
          </w:tcPr>
          <w:p>
            <w:pPr>
              <w:spacing w:before="60" w:after="60"/>
              <w:ind w:left="72"/>
            </w:pPr>
            <w:r>
              <w:rPr>
                <w:rFonts w:ascii="Arial" w:hAnsi="Arial"/>
                <w:color w:val="1F1F1F"/>
                <w:sz w:val="19"/>
              </w:rPr>
              <w:t>SPM Milestones</w:t>
            </w:r>
          </w:p>
        </w:tc>
        <w:tc>
          <w:tcPr>
            <w:tcW w:type="dxa" w:w="3600"/>
            <w:shd w:val="clear" w:color="auto" w:fill="FFFFFF"/>
          </w:tcPr>
          <w:p>
            <w:pPr>
              <w:spacing w:before="60" w:after="60"/>
              <w:ind w:left="72"/>
            </w:pPr>
            <w:r>
              <w:rPr>
                <w:rFonts w:ascii="Arial" w:hAnsi="Arial"/>
                <w:color w:val="1F1F1F"/>
                <w:sz w:val="19"/>
              </w:rPr>
              <w:t>Native pm_milestone records on the engagement project — no extension needed</w:t>
            </w:r>
          </w:p>
        </w:tc>
        <w:tc>
          <w:tcPr>
            <w:tcW w:type="dxa" w:w="3744"/>
            <w:shd w:val="clear" w:color="auto" w:fill="FFFFFF"/>
          </w:tcPr>
          <w:p>
            <w:pPr>
              <w:spacing w:before="60" w:after="60"/>
              <w:ind w:left="72"/>
            </w:pPr>
            <w:r>
              <w:rPr>
                <w:rFonts w:ascii="Arial" w:hAnsi="Arial"/>
                <w:color w:val="1F1F1F"/>
                <w:sz w:val="19"/>
              </w:rPr>
              <w:t>Direct native access — milestones already on the project, no mapping required</w:t>
            </w:r>
          </w:p>
        </w:tc>
      </w:tr>
      <w:tr>
        <w:tc>
          <w:tcPr>
            <w:tcW w:type="dxa" w:w="2016"/>
            <w:shd w:val="clear" w:color="auto" w:fill="F2F2F2"/>
          </w:tcPr>
          <w:p>
            <w:pPr>
              <w:spacing w:before="60" w:after="60"/>
              <w:ind w:left="72"/>
            </w:pPr>
            <w:r>
              <w:rPr>
                <w:rFonts w:ascii="Arial" w:hAnsi="Arial"/>
                <w:color w:val="1F1F1F"/>
                <w:sz w:val="19"/>
              </w:rPr>
              <w:t>ITSM (incidents/changes)</w:t>
            </w:r>
          </w:p>
        </w:tc>
        <w:tc>
          <w:tcPr>
            <w:tcW w:type="dxa" w:w="3600"/>
            <w:shd w:val="clear" w:color="auto" w:fill="F2F2F2"/>
          </w:tcPr>
          <w:p>
            <w:pPr>
              <w:spacing w:before="60" w:after="60"/>
              <w:ind w:left="72"/>
            </w:pPr>
            <w:r>
              <w:rPr>
                <w:rFonts w:ascii="Arial" w:hAnsi="Arial"/>
                <w:color w:val="1F1F1F"/>
                <w:sz w:val="19"/>
              </w:rPr>
              <w:t>GlideRecord query on incident and change_request during Hypercare phase</w:t>
            </w:r>
          </w:p>
        </w:tc>
        <w:tc>
          <w:tcPr>
            <w:tcW w:type="dxa" w:w="3744"/>
            <w:shd w:val="clear" w:color="auto" w:fill="F2F2F2"/>
          </w:tcPr>
          <w:p>
            <w:pPr>
              <w:spacing w:before="60" w:after="60"/>
              <w:ind w:left="72"/>
            </w:pPr>
            <w:r>
              <w:rPr>
                <w:rFonts w:ascii="Arial" w:hAnsi="Arial"/>
                <w:color w:val="1F1F1F"/>
                <w:sz w:val="19"/>
              </w:rPr>
              <w:t>Same as Blueprint A — read-only query, no scope issues</w:t>
            </w:r>
          </w:p>
        </w:tc>
      </w:tr>
      <w:tr>
        <w:tc>
          <w:tcPr>
            <w:tcW w:type="dxa" w:w="2016"/>
            <w:shd w:val="clear" w:color="auto" w:fill="FFFFFF"/>
          </w:tcPr>
          <w:p>
            <w:pPr>
              <w:spacing w:before="60" w:after="60"/>
              <w:ind w:left="72"/>
            </w:pPr>
            <w:r>
              <w:rPr>
                <w:rFonts w:ascii="Arial" w:hAnsi="Arial"/>
                <w:color w:val="1F1F1F"/>
                <w:sz w:val="19"/>
              </w:rPr>
              <w:t>Knowledge Base</w:t>
            </w:r>
          </w:p>
        </w:tc>
        <w:tc>
          <w:tcPr>
            <w:tcW w:type="dxa" w:w="3600"/>
            <w:shd w:val="clear" w:color="auto" w:fill="FFFFFF"/>
          </w:tcPr>
          <w:p>
            <w:pPr>
              <w:spacing w:before="60" w:after="60"/>
              <w:ind w:left="72"/>
            </w:pPr>
            <w:r>
              <w:rPr>
                <w:rFonts w:ascii="Arial" w:hAnsi="Arial"/>
                <w:color w:val="1F1F1F"/>
                <w:sz w:val="19"/>
              </w:rPr>
              <w:t>Extended kb_knowledge table — content tagged in-place with u_ecs_ fields</w:t>
            </w:r>
          </w:p>
        </w:tc>
        <w:tc>
          <w:tcPr>
            <w:tcW w:type="dxa" w:w="3744"/>
            <w:shd w:val="clear" w:color="auto" w:fill="FFFFFF"/>
          </w:tcPr>
          <w:p>
            <w:pPr>
              <w:spacing w:before="60" w:after="60"/>
              <w:ind w:left="72"/>
            </w:pPr>
            <w:r>
              <w:rPr>
                <w:rFonts w:ascii="Arial" w:hAnsi="Arial"/>
                <w:color w:val="1F1F1F"/>
                <w:sz w:val="19"/>
              </w:rPr>
              <w:t>Simpler — articles live in native KB, no separate content sync needed</w:t>
            </w:r>
          </w:p>
        </w:tc>
      </w:tr>
      <w:tr>
        <w:tc>
          <w:tcPr>
            <w:tcW w:type="dxa" w:w="2016"/>
            <w:shd w:val="clear" w:color="auto" w:fill="F2F2F2"/>
          </w:tcPr>
          <w:p>
            <w:pPr>
              <w:spacing w:before="60" w:after="60"/>
              <w:ind w:left="72"/>
            </w:pPr>
            <w:r>
              <w:rPr>
                <w:rFonts w:ascii="Arial" w:hAnsi="Arial"/>
                <w:color w:val="1F1F1F"/>
                <w:sz w:val="19"/>
              </w:rPr>
              <w:t>Risk Management</w:t>
            </w:r>
          </w:p>
        </w:tc>
        <w:tc>
          <w:tcPr>
            <w:tcW w:type="dxa" w:w="3600"/>
            <w:shd w:val="clear" w:color="auto" w:fill="F2F2F2"/>
          </w:tcPr>
          <w:p>
            <w:pPr>
              <w:spacing w:before="60" w:after="60"/>
              <w:ind w:left="72"/>
            </w:pPr>
            <w:r>
              <w:rPr>
                <w:rFonts w:ascii="Arial" w:hAnsi="Arial"/>
                <w:color w:val="1F1F1F"/>
                <w:sz w:val="19"/>
              </w:rPr>
              <w:t>Extended sn_risk_risk or task fallback — native GRC workflow available if licensed</w:t>
            </w:r>
          </w:p>
        </w:tc>
        <w:tc>
          <w:tcPr>
            <w:tcW w:type="dxa" w:w="3744"/>
            <w:shd w:val="clear" w:color="auto" w:fill="F2F2F2"/>
          </w:tcPr>
          <w:p>
            <w:pPr>
              <w:spacing w:before="60" w:after="60"/>
              <w:ind w:left="72"/>
            </w:pPr>
            <w:r>
              <w:rPr>
                <w:rFonts w:ascii="Arial" w:hAnsi="Arial"/>
                <w:color w:val="1F1F1F"/>
                <w:sz w:val="19"/>
              </w:rPr>
              <w:t>May gain native GRC workflow for free if customer has GRC licensed</w:t>
            </w:r>
          </w:p>
        </w:tc>
      </w:tr>
      <w:tr>
        <w:tc>
          <w:tcPr>
            <w:tcW w:type="dxa" w:w="2016"/>
            <w:shd w:val="clear" w:color="auto" w:fill="FFFFFF"/>
          </w:tcPr>
          <w:p>
            <w:pPr>
              <w:spacing w:before="60" w:after="60"/>
              <w:ind w:left="72"/>
            </w:pPr>
            <w:r>
              <w:rPr>
                <w:rFonts w:ascii="Arial" w:hAnsi="Arial"/>
                <w:color w:val="1F1F1F"/>
                <w:sz w:val="19"/>
              </w:rPr>
              <w:t>Virtual Agent</w:t>
            </w:r>
          </w:p>
        </w:tc>
        <w:tc>
          <w:tcPr>
            <w:tcW w:type="dxa" w:w="3600"/>
            <w:shd w:val="clear" w:color="auto" w:fill="FFFFFF"/>
          </w:tcPr>
          <w:p>
            <w:pPr>
              <w:spacing w:before="60" w:after="60"/>
              <w:ind w:left="72"/>
            </w:pPr>
            <w:r>
              <w:rPr>
                <w:rFonts w:ascii="Arial" w:hAnsi="Arial"/>
                <w:color w:val="1F1F1F"/>
                <w:sz w:val="19"/>
              </w:rPr>
              <w:t>VA topics query extended tables using same field filters as portal widgets</w:t>
            </w:r>
          </w:p>
        </w:tc>
        <w:tc>
          <w:tcPr>
            <w:tcW w:type="dxa" w:w="3744"/>
            <w:shd w:val="clear" w:color="auto" w:fill="FFFFFF"/>
          </w:tcPr>
          <w:p>
            <w:pPr>
              <w:spacing w:before="60" w:after="60"/>
              <w:ind w:left="72"/>
            </w:pPr>
            <w:r>
              <w:rPr>
                <w:rFonts w:ascii="Arial" w:hAnsi="Arial"/>
                <w:color w:val="1F1F1F"/>
                <w:sz w:val="19"/>
              </w:rPr>
              <w:t>Same complexity as Blueprint A — VA scripting is table-agnostic</w:t>
            </w:r>
          </w:p>
        </w:tc>
      </w:tr>
    </w:tbl>
    <w:p>
      <w:pPr>
        <w:spacing w:after="120"/>
      </w:pPr>
    </w:p>
    <w:p>
      <w:r>
        <w:br w:type="page"/>
      </w:r>
    </w:p>
    <w:p>
      <w:pPr>
        <w:spacing w:before="360" w:after="120"/>
        <w:pBdr>
          <w:bottom w:val="single" w:sz="6" w:space="1" w:color="007A78"/>
        </w:pBdr>
      </w:pPr>
      <w:r>
        <w:rPr>
          <w:rFonts w:ascii="Arial" w:hAnsi="Arial"/>
          <w:b/>
          <w:color w:val="1B3A6B"/>
          <w:sz w:val="28"/>
        </w:rPr>
        <w:t>9. IMPLEMENTATION SEQUENCE</w:t>
      </w:r>
    </w:p>
    <w:p>
      <w:pPr>
        <w:spacing w:before="0" w:after="200"/>
        <w:jc w:val="left"/>
      </w:pPr>
      <w:r>
        <w:rPr>
          <w:rFonts w:ascii="Arial" w:hAnsi="Arial"/>
          <w:b w:val="0"/>
          <w:i w:val="0"/>
          <w:color w:val="1F1F1F"/>
          <w:sz w:val="21"/>
        </w:rPr>
        <w:t>Blueprint B has a shorter build timeline than Blueprint A. The primary reason is that configuration of existing tables and portal pages is faster than standing up a full scoped application from scratch.</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40"/>
        <w:gridCol w:w="2340"/>
        <w:gridCol w:w="2340"/>
        <w:gridCol w:w="2340"/>
      </w:tblGrid>
      <w:tr>
        <w:tc>
          <w:tcPr>
            <w:tcW w:type="dxa" w:w="1440"/>
            <w:shd w:val="clear" w:color="auto" w:fill="007A78"/>
          </w:tcPr>
          <w:p>
            <w:pPr>
              <w:spacing w:before="80" w:after="80"/>
              <w:ind w:left="72"/>
            </w:pPr>
            <w:r>
              <w:rPr>
                <w:rFonts w:ascii="Arial" w:hAnsi="Arial"/>
                <w:b/>
                <w:color w:val="FFFFFF"/>
                <w:sz w:val="20"/>
              </w:rPr>
              <w:t>Phase</w:t>
            </w:r>
          </w:p>
        </w:tc>
        <w:tc>
          <w:tcPr>
            <w:tcW w:type="dxa" w:w="1296"/>
            <w:shd w:val="clear" w:color="auto" w:fill="007A78"/>
          </w:tcPr>
          <w:p>
            <w:pPr>
              <w:spacing w:before="80" w:after="80"/>
              <w:ind w:left="72"/>
            </w:pPr>
            <w:r>
              <w:rPr>
                <w:rFonts w:ascii="Arial" w:hAnsi="Arial"/>
                <w:b/>
                <w:color w:val="FFFFFF"/>
                <w:sz w:val="20"/>
              </w:rPr>
              <w:t>Duration</w:t>
            </w:r>
          </w:p>
        </w:tc>
        <w:tc>
          <w:tcPr>
            <w:tcW w:type="dxa" w:w="4752"/>
            <w:shd w:val="clear" w:color="auto" w:fill="007A78"/>
          </w:tcPr>
          <w:p>
            <w:pPr>
              <w:spacing w:before="80" w:after="80"/>
              <w:ind w:left="72"/>
            </w:pPr>
            <w:r>
              <w:rPr>
                <w:rFonts w:ascii="Arial" w:hAnsi="Arial"/>
                <w:b/>
                <w:color w:val="FFFFFF"/>
                <w:sz w:val="20"/>
              </w:rPr>
              <w:t>Deliverables</w:t>
            </w:r>
          </w:p>
        </w:tc>
        <w:tc>
          <w:tcPr>
            <w:tcW w:type="dxa" w:w="1872"/>
            <w:shd w:val="clear" w:color="auto" w:fill="007A78"/>
          </w:tcPr>
          <w:p>
            <w:pPr>
              <w:spacing w:before="80" w:after="80"/>
              <w:ind w:left="72"/>
            </w:pPr>
            <w:r>
              <w:rPr>
                <w:rFonts w:ascii="Arial" w:hAnsi="Arial"/>
                <w:b/>
                <w:color w:val="FFFFFF"/>
                <w:sz w:val="20"/>
              </w:rPr>
              <w:t>Milestone</w:t>
            </w:r>
          </w:p>
        </w:tc>
      </w:tr>
      <w:tr>
        <w:tc>
          <w:tcPr>
            <w:tcW w:type="dxa" w:w="1440"/>
            <w:shd w:val="clear" w:color="auto" w:fill="F2F2F2"/>
          </w:tcPr>
          <w:p>
            <w:pPr>
              <w:spacing w:before="60" w:after="60"/>
              <w:ind w:left="72"/>
            </w:pPr>
            <w:r>
              <w:rPr>
                <w:rFonts w:ascii="Arial" w:hAnsi="Arial"/>
                <w:color w:val="1F1F1F"/>
                <w:sz w:val="19"/>
              </w:rPr>
              <w:t>Phase 1</w:t>
              <w:br/>
              <w:t>Extensions &amp; Roles</w:t>
            </w:r>
          </w:p>
        </w:tc>
        <w:tc>
          <w:tcPr>
            <w:tcW w:type="dxa" w:w="1296"/>
            <w:shd w:val="clear" w:color="auto" w:fill="F2F2F2"/>
          </w:tcPr>
          <w:p>
            <w:pPr>
              <w:spacing w:before="60" w:after="60"/>
              <w:ind w:left="72"/>
            </w:pPr>
            <w:r>
              <w:rPr>
                <w:rFonts w:ascii="Arial" w:hAnsi="Arial"/>
                <w:color w:val="1F1F1F"/>
                <w:sz w:val="19"/>
              </w:rPr>
              <w:t>2–3 weeks</w:t>
            </w:r>
          </w:p>
        </w:tc>
        <w:tc>
          <w:tcPr>
            <w:tcW w:type="dxa" w:w="4752"/>
            <w:shd w:val="clear" w:color="auto" w:fill="F2F2F2"/>
          </w:tcPr>
          <w:p>
            <w:pPr>
              <w:spacing w:before="60" w:after="60"/>
              <w:ind w:left="72"/>
            </w:pPr>
            <w:r>
              <w:rPr>
                <w:rFonts w:ascii="Arial" w:hAnsi="Arial"/>
                <w:color w:val="1F1F1F"/>
                <w:sz w:val="19"/>
              </w:rPr>
              <w:t>All u_ecs_ field extensions on native tables, scoped roles and ACLs, engagement project type configuration, update set packaging</w:t>
            </w:r>
          </w:p>
        </w:tc>
        <w:tc>
          <w:tcPr>
            <w:tcW w:type="dxa" w:w="1872"/>
            <w:shd w:val="clear" w:color="auto" w:fill="F2F2F2"/>
          </w:tcPr>
          <w:p>
            <w:pPr>
              <w:spacing w:before="60" w:after="60"/>
              <w:ind w:left="72"/>
            </w:pPr>
            <w:r>
              <w:rPr>
                <w:rFonts w:ascii="Arial" w:hAnsi="Arial"/>
                <w:color w:val="1F1F1F"/>
                <w:sz w:val="19"/>
              </w:rPr>
              <w:t>v0.5: extensions installed, records can be created in native tables</w:t>
            </w:r>
          </w:p>
        </w:tc>
      </w:tr>
      <w:tr>
        <w:tc>
          <w:tcPr>
            <w:tcW w:type="dxa" w:w="1440"/>
            <w:shd w:val="clear" w:color="auto" w:fill="FFFFFF"/>
          </w:tcPr>
          <w:p>
            <w:pPr>
              <w:spacing w:before="60" w:after="60"/>
              <w:ind w:left="72"/>
            </w:pPr>
            <w:r>
              <w:rPr>
                <w:rFonts w:ascii="Arial" w:hAnsi="Arial"/>
                <w:color w:val="1F1F1F"/>
                <w:sz w:val="19"/>
              </w:rPr>
              <w:t>Phase 2</w:t>
              <w:br/>
              <w:t>Portal &amp; Health</w:t>
            </w:r>
          </w:p>
        </w:tc>
        <w:tc>
          <w:tcPr>
            <w:tcW w:type="dxa" w:w="1296"/>
            <w:shd w:val="clear" w:color="auto" w:fill="FFFFFF"/>
          </w:tcPr>
          <w:p>
            <w:pPr>
              <w:spacing w:before="60" w:after="60"/>
              <w:ind w:left="72"/>
            </w:pPr>
            <w:r>
              <w:rPr>
                <w:rFonts w:ascii="Arial" w:hAnsi="Arial"/>
                <w:color w:val="1F1F1F"/>
                <w:sz w:val="19"/>
              </w:rPr>
              <w:t>3–4 weeks</w:t>
            </w:r>
          </w:p>
        </w:tc>
        <w:tc>
          <w:tcPr>
            <w:tcW w:type="dxa" w:w="4752"/>
            <w:shd w:val="clear" w:color="auto" w:fill="FFFFFF"/>
          </w:tcPr>
          <w:p>
            <w:pPr>
              <w:spacing w:before="60" w:after="60"/>
              <w:ind w:left="72"/>
            </w:pPr>
            <w:r>
              <w:rPr>
                <w:rFonts w:ascii="Arial" w:hAnsi="Arial"/>
                <w:color w:val="1F1F1F"/>
                <w:sz w:val="19"/>
              </w:rPr>
              <w:t>Service Portal pages for all roles, health score scheduled job, risk and decision records functioning, portal customer access</w:t>
            </w:r>
          </w:p>
        </w:tc>
        <w:tc>
          <w:tcPr>
            <w:tcW w:type="dxa" w:w="1872"/>
            <w:shd w:val="clear" w:color="auto" w:fill="FFFFFF"/>
          </w:tcPr>
          <w:p>
            <w:pPr>
              <w:spacing w:before="60" w:after="60"/>
              <w:ind w:left="72"/>
            </w:pPr>
            <w:r>
              <w:rPr>
                <w:rFonts w:ascii="Arial" w:hAnsi="Arial"/>
                <w:color w:val="1F1F1F"/>
                <w:sz w:val="19"/>
              </w:rPr>
              <w:t>v0.7: fully functional for internal use; customer portal live</w:t>
            </w:r>
          </w:p>
        </w:tc>
      </w:tr>
      <w:tr>
        <w:tc>
          <w:tcPr>
            <w:tcW w:type="dxa" w:w="1440"/>
            <w:shd w:val="clear" w:color="auto" w:fill="F2F2F2"/>
          </w:tcPr>
          <w:p>
            <w:pPr>
              <w:spacing w:before="60" w:after="60"/>
              <w:ind w:left="72"/>
            </w:pPr>
            <w:r>
              <w:rPr>
                <w:rFonts w:ascii="Arial" w:hAnsi="Arial"/>
                <w:color w:val="1F1F1F"/>
                <w:sz w:val="19"/>
              </w:rPr>
              <w:t>Phase 3</w:t>
              <w:br/>
              <w:t>Integrations</w:t>
            </w:r>
          </w:p>
        </w:tc>
        <w:tc>
          <w:tcPr>
            <w:tcW w:type="dxa" w:w="1296"/>
            <w:shd w:val="clear" w:color="auto" w:fill="F2F2F2"/>
          </w:tcPr>
          <w:p>
            <w:pPr>
              <w:spacing w:before="60" w:after="60"/>
              <w:ind w:left="72"/>
            </w:pPr>
            <w:r>
              <w:rPr>
                <w:rFonts w:ascii="Arial" w:hAnsi="Arial"/>
                <w:color w:val="1F1F1F"/>
                <w:sz w:val="19"/>
              </w:rPr>
              <w:t>2–3 weeks</w:t>
            </w:r>
          </w:p>
        </w:tc>
        <w:tc>
          <w:tcPr>
            <w:tcW w:type="dxa" w:w="4752"/>
            <w:shd w:val="clear" w:color="auto" w:fill="F2F2F2"/>
          </w:tcPr>
          <w:p>
            <w:pPr>
              <w:spacing w:before="60" w:after="60"/>
              <w:ind w:left="72"/>
            </w:pPr>
            <w:r>
              <w:rPr>
                <w:rFonts w:ascii="Arial" w:hAnsi="Arial"/>
                <w:color w:val="1F1F1F"/>
                <w:sz w:val="19"/>
              </w:rPr>
              <w:t>Agile velocity chart, SPM milestone integration, Knowledge Base content tagging, Virtual Agent topics</w:t>
            </w:r>
          </w:p>
        </w:tc>
        <w:tc>
          <w:tcPr>
            <w:tcW w:type="dxa" w:w="1872"/>
            <w:shd w:val="clear" w:color="auto" w:fill="F2F2F2"/>
          </w:tcPr>
          <w:p>
            <w:pPr>
              <w:spacing w:before="60" w:after="60"/>
              <w:ind w:left="72"/>
            </w:pPr>
            <w:r>
              <w:rPr>
                <w:rFonts w:ascii="Arial" w:hAnsi="Arial"/>
                <w:color w:val="1F1F1F"/>
                <w:sz w:val="19"/>
              </w:rPr>
              <w:t>v0.9: replaces all spreadsheets; methodology content surfacing correctly</w:t>
            </w:r>
          </w:p>
        </w:tc>
      </w:tr>
      <w:tr>
        <w:tc>
          <w:tcPr>
            <w:tcW w:type="dxa" w:w="1440"/>
            <w:shd w:val="clear" w:color="auto" w:fill="FFFFFF"/>
          </w:tcPr>
          <w:p>
            <w:pPr>
              <w:spacing w:before="60" w:after="60"/>
              <w:ind w:left="72"/>
            </w:pPr>
            <w:r>
              <w:rPr>
                <w:rFonts w:ascii="Arial" w:hAnsi="Arial"/>
                <w:color w:val="1F1F1F"/>
                <w:sz w:val="19"/>
              </w:rPr>
              <w:t>Phase 4</w:t>
              <w:br/>
              <w:t>Content &amp; Hardening</w:t>
            </w:r>
          </w:p>
        </w:tc>
        <w:tc>
          <w:tcPr>
            <w:tcW w:type="dxa" w:w="1296"/>
            <w:shd w:val="clear" w:color="auto" w:fill="FFFFFF"/>
          </w:tcPr>
          <w:p>
            <w:pPr>
              <w:spacing w:before="60" w:after="60"/>
              <w:ind w:left="72"/>
            </w:pPr>
            <w:r>
              <w:rPr>
                <w:rFonts w:ascii="Arial" w:hAnsi="Arial"/>
                <w:color w:val="1F1F1F"/>
                <w:sz w:val="19"/>
              </w:rPr>
              <w:t>2–3 weeks</w:t>
            </w:r>
          </w:p>
        </w:tc>
        <w:tc>
          <w:tcPr>
            <w:tcW w:type="dxa" w:w="4752"/>
            <w:shd w:val="clear" w:color="auto" w:fill="FFFFFF"/>
          </w:tcPr>
          <w:p>
            <w:pPr>
              <w:spacing w:before="60" w:after="60"/>
              <w:ind w:left="72"/>
            </w:pPr>
            <w:r>
              <w:rPr>
                <w:rFonts w:ascii="Arial" w:hAnsi="Arial"/>
                <w:color w:val="1F1F1F"/>
                <w:sz w:val="19"/>
              </w:rPr>
              <w:t>Methodology content loaded into KB with u_ecs_ tags, ACL audit, upgrade-risk assessment of all extensions, documentation</w:t>
            </w:r>
          </w:p>
        </w:tc>
        <w:tc>
          <w:tcPr>
            <w:tcW w:type="dxa" w:w="1872"/>
            <w:shd w:val="clear" w:color="auto" w:fill="FFFFFF"/>
          </w:tcPr>
          <w:p>
            <w:pPr>
              <w:spacing w:before="60" w:after="60"/>
              <w:ind w:left="72"/>
            </w:pPr>
            <w:r>
              <w:rPr>
                <w:rFonts w:ascii="Arial" w:hAnsi="Arial"/>
                <w:color w:val="1F1F1F"/>
                <w:sz w:val="19"/>
              </w:rPr>
              <w:t>v1.0: production-ready for all engagements</w:t>
            </w:r>
          </w:p>
        </w:tc>
      </w:tr>
    </w:tbl>
    <w:p>
      <w:pPr>
        <w:spacing w:after="120"/>
      </w:pPr>
    </w:p>
    <w:p>
      <w:pPr>
        <w:spacing w:before="240" w:after="80"/>
      </w:pPr>
      <w:r>
        <w:rPr>
          <w:rFonts w:ascii="Arial" w:hAnsi="Arial"/>
          <w:b/>
          <w:color w:val="007A78"/>
          <w:sz w:val="24"/>
        </w:rPr>
        <w:t>9.1  Comparison to Blueprint A</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2880"/>
            <w:shd w:val="clear" w:color="auto" w:fill="007A78"/>
          </w:tcPr>
          <w:p>
            <w:pPr>
              <w:spacing w:before="80" w:after="80"/>
              <w:ind w:left="72"/>
            </w:pPr>
            <w:r>
              <w:rPr>
                <w:rFonts w:ascii="Arial" w:hAnsi="Arial"/>
                <w:b/>
                <w:color w:val="FFFFFF"/>
                <w:sz w:val="20"/>
              </w:rPr>
              <w:t>Factor</w:t>
            </w:r>
          </w:p>
        </w:tc>
        <w:tc>
          <w:tcPr>
            <w:tcW w:type="dxa" w:w="3168"/>
            <w:shd w:val="clear" w:color="auto" w:fill="007A78"/>
          </w:tcPr>
          <w:p>
            <w:pPr>
              <w:spacing w:before="80" w:after="80"/>
              <w:ind w:left="72"/>
            </w:pPr>
            <w:r>
              <w:rPr>
                <w:rFonts w:ascii="Arial" w:hAnsi="Arial"/>
                <w:b/>
                <w:color w:val="FFFFFF"/>
                <w:sz w:val="20"/>
              </w:rPr>
              <w:t>Blueprint A</w:t>
            </w:r>
          </w:p>
        </w:tc>
        <w:tc>
          <w:tcPr>
            <w:tcW w:type="dxa" w:w="3312"/>
            <w:shd w:val="clear" w:color="auto" w:fill="007A78"/>
          </w:tcPr>
          <w:p>
            <w:pPr>
              <w:spacing w:before="80" w:after="80"/>
              <w:ind w:left="72"/>
            </w:pPr>
            <w:r>
              <w:rPr>
                <w:rFonts w:ascii="Arial" w:hAnsi="Arial"/>
                <w:b/>
                <w:color w:val="FFFFFF"/>
                <w:sz w:val="20"/>
              </w:rPr>
              <w:t>Blueprint B</w:t>
            </w:r>
          </w:p>
        </w:tc>
      </w:tr>
      <w:tr>
        <w:tc>
          <w:tcPr>
            <w:tcW w:type="dxa" w:w="2880"/>
            <w:shd w:val="clear" w:color="auto" w:fill="F2F2F2"/>
          </w:tcPr>
          <w:p>
            <w:pPr>
              <w:spacing w:before="60" w:after="60"/>
              <w:ind w:left="72"/>
            </w:pPr>
            <w:r>
              <w:rPr>
                <w:rFonts w:ascii="Arial" w:hAnsi="Arial"/>
                <w:color w:val="1F1F1F"/>
                <w:sz w:val="19"/>
              </w:rPr>
              <w:t>Build timeline to v1.0</w:t>
            </w:r>
          </w:p>
        </w:tc>
        <w:tc>
          <w:tcPr>
            <w:tcW w:type="dxa" w:w="3168"/>
            <w:shd w:val="clear" w:color="auto" w:fill="F2F2F2"/>
          </w:tcPr>
          <w:p>
            <w:pPr>
              <w:spacing w:before="60" w:after="60"/>
              <w:ind w:left="72"/>
            </w:pPr>
            <w:r>
              <w:rPr>
                <w:rFonts w:ascii="Arial" w:hAnsi="Arial"/>
                <w:color w:val="1F1F1F"/>
                <w:sz w:val="19"/>
              </w:rPr>
              <w:t>16–18 weeks</w:t>
            </w:r>
          </w:p>
        </w:tc>
        <w:tc>
          <w:tcPr>
            <w:tcW w:type="dxa" w:w="3312"/>
            <w:shd w:val="clear" w:color="auto" w:fill="F2F2F2"/>
          </w:tcPr>
          <w:p>
            <w:pPr>
              <w:spacing w:before="60" w:after="60"/>
              <w:ind w:left="72"/>
            </w:pPr>
            <w:r>
              <w:rPr>
                <w:rFonts w:ascii="Arial" w:hAnsi="Arial"/>
                <w:color w:val="1F1F1F"/>
                <w:sz w:val="19"/>
              </w:rPr>
              <w:t>10–12 weeks</w:t>
            </w:r>
          </w:p>
        </w:tc>
      </w:tr>
      <w:tr>
        <w:tc>
          <w:tcPr>
            <w:tcW w:type="dxa" w:w="2880"/>
            <w:shd w:val="clear" w:color="auto" w:fill="FFFFFF"/>
          </w:tcPr>
          <w:p>
            <w:pPr>
              <w:spacing w:before="60" w:after="60"/>
              <w:ind w:left="72"/>
            </w:pPr>
            <w:r>
              <w:rPr>
                <w:rFonts w:ascii="Arial" w:hAnsi="Arial"/>
                <w:color w:val="1F1F1F"/>
                <w:sz w:val="19"/>
              </w:rPr>
              <w:t>Developer profile needed</w:t>
            </w:r>
          </w:p>
        </w:tc>
        <w:tc>
          <w:tcPr>
            <w:tcW w:type="dxa" w:w="3168"/>
            <w:shd w:val="clear" w:color="auto" w:fill="FFFFFF"/>
          </w:tcPr>
          <w:p>
            <w:pPr>
              <w:spacing w:before="60" w:after="60"/>
              <w:ind w:left="72"/>
            </w:pPr>
            <w:r>
              <w:rPr>
                <w:rFonts w:ascii="Arial" w:hAnsi="Arial"/>
                <w:color w:val="1F1F1F"/>
                <w:sz w:val="19"/>
              </w:rPr>
              <w:t>ServiceNow app developer (Studio)</w:t>
            </w:r>
          </w:p>
        </w:tc>
        <w:tc>
          <w:tcPr>
            <w:tcW w:type="dxa" w:w="3312"/>
            <w:shd w:val="clear" w:color="auto" w:fill="FFFFFF"/>
          </w:tcPr>
          <w:p>
            <w:pPr>
              <w:spacing w:before="60" w:after="60"/>
              <w:ind w:left="72"/>
            </w:pPr>
            <w:r>
              <w:rPr>
                <w:rFonts w:ascii="Arial" w:hAnsi="Arial"/>
                <w:color w:val="1F1F1F"/>
                <w:sz w:val="19"/>
              </w:rPr>
              <w:t>ServiceNow configurator / mid-level developer</w:t>
            </w:r>
          </w:p>
        </w:tc>
      </w:tr>
      <w:tr>
        <w:tc>
          <w:tcPr>
            <w:tcW w:type="dxa" w:w="2880"/>
            <w:shd w:val="clear" w:color="auto" w:fill="F2F2F2"/>
          </w:tcPr>
          <w:p>
            <w:pPr>
              <w:spacing w:before="60" w:after="60"/>
              <w:ind w:left="72"/>
            </w:pPr>
            <w:r>
              <w:rPr>
                <w:rFonts w:ascii="Arial" w:hAnsi="Arial"/>
                <w:color w:val="1F1F1F"/>
                <w:sz w:val="19"/>
              </w:rPr>
              <w:t>App Engine SKU required</w:t>
            </w:r>
          </w:p>
        </w:tc>
        <w:tc>
          <w:tcPr>
            <w:tcW w:type="dxa" w:w="3168"/>
            <w:shd w:val="clear" w:color="auto" w:fill="F2F2F2"/>
          </w:tcPr>
          <w:p>
            <w:pPr>
              <w:spacing w:before="60" w:after="60"/>
              <w:ind w:left="72"/>
            </w:pPr>
            <w:r>
              <w:rPr>
                <w:rFonts w:ascii="Arial" w:hAnsi="Arial"/>
                <w:color w:val="1F1F1F"/>
                <w:sz w:val="19"/>
              </w:rPr>
              <w:t>Yes — customer must have it</w:t>
            </w:r>
          </w:p>
        </w:tc>
        <w:tc>
          <w:tcPr>
            <w:tcW w:type="dxa" w:w="3312"/>
            <w:shd w:val="clear" w:color="auto" w:fill="F2F2F2"/>
          </w:tcPr>
          <w:p>
            <w:pPr>
              <w:spacing w:before="60" w:after="60"/>
              <w:ind w:left="72"/>
            </w:pPr>
            <w:r>
              <w:rPr>
                <w:rFonts w:ascii="Arial" w:hAnsi="Arial"/>
                <w:color w:val="1F1F1F"/>
                <w:sz w:val="19"/>
              </w:rPr>
              <w:t>No — base platform sufficient</w:t>
            </w:r>
          </w:p>
        </w:tc>
      </w:tr>
      <w:tr>
        <w:tc>
          <w:tcPr>
            <w:tcW w:type="dxa" w:w="2880"/>
            <w:shd w:val="clear" w:color="auto" w:fill="FFFFFF"/>
          </w:tcPr>
          <w:p>
            <w:pPr>
              <w:spacing w:before="60" w:after="60"/>
              <w:ind w:left="72"/>
            </w:pPr>
            <w:r>
              <w:rPr>
                <w:rFonts w:ascii="Arial" w:hAnsi="Arial"/>
                <w:color w:val="1F1F1F"/>
                <w:sz w:val="19"/>
              </w:rPr>
              <w:t>Store packaging</w:t>
            </w:r>
          </w:p>
        </w:tc>
        <w:tc>
          <w:tcPr>
            <w:tcW w:type="dxa" w:w="3168"/>
            <w:shd w:val="clear" w:color="auto" w:fill="FFFFFF"/>
          </w:tcPr>
          <w:p>
            <w:pPr>
              <w:spacing w:before="60" w:after="60"/>
              <w:ind w:left="72"/>
            </w:pPr>
            <w:r>
              <w:rPr>
                <w:rFonts w:ascii="Arial" w:hAnsi="Arial"/>
                <w:color w:val="1F1F1F"/>
                <w:sz w:val="19"/>
              </w:rPr>
              <w:t>Clean — scoped app is Store-ready</w:t>
            </w:r>
          </w:p>
        </w:tc>
        <w:tc>
          <w:tcPr>
            <w:tcW w:type="dxa" w:w="3312"/>
            <w:shd w:val="clear" w:color="auto" w:fill="FFFFFF"/>
          </w:tcPr>
          <w:p>
            <w:pPr>
              <w:spacing w:before="60" w:after="60"/>
              <w:ind w:left="72"/>
            </w:pPr>
            <w:r>
              <w:rPr>
                <w:rFonts w:ascii="Arial" w:hAnsi="Arial"/>
                <w:color w:val="1F1F1F"/>
                <w:sz w:val="19"/>
              </w:rPr>
              <w:t>Complex — native extensions are messy to package</w:t>
            </w:r>
          </w:p>
        </w:tc>
      </w:tr>
      <w:tr>
        <w:tc>
          <w:tcPr>
            <w:tcW w:type="dxa" w:w="2880"/>
            <w:shd w:val="clear" w:color="auto" w:fill="F2F2F2"/>
          </w:tcPr>
          <w:p>
            <w:pPr>
              <w:spacing w:before="60" w:after="60"/>
              <w:ind w:left="72"/>
            </w:pPr>
            <w:r>
              <w:rPr>
                <w:rFonts w:ascii="Arial" w:hAnsi="Arial"/>
                <w:color w:val="1F1F1F"/>
                <w:sz w:val="19"/>
              </w:rPr>
              <w:t>Upgrade risk</w:t>
            </w:r>
          </w:p>
        </w:tc>
        <w:tc>
          <w:tcPr>
            <w:tcW w:type="dxa" w:w="3168"/>
            <w:shd w:val="clear" w:color="auto" w:fill="F2F2F2"/>
          </w:tcPr>
          <w:p>
            <w:pPr>
              <w:spacing w:before="60" w:after="60"/>
              <w:ind w:left="72"/>
            </w:pPr>
            <w:r>
              <w:rPr>
                <w:rFonts w:ascii="Arial" w:hAnsi="Arial"/>
                <w:color w:val="1F1F1F"/>
                <w:sz w:val="19"/>
              </w:rPr>
              <w:t>Low — scoped app isolated</w:t>
            </w:r>
          </w:p>
        </w:tc>
        <w:tc>
          <w:tcPr>
            <w:tcW w:type="dxa" w:w="3312"/>
            <w:shd w:val="clear" w:color="auto" w:fill="F2F2F2"/>
          </w:tcPr>
          <w:p>
            <w:pPr>
              <w:spacing w:before="60" w:after="60"/>
              <w:ind w:left="72"/>
            </w:pPr>
            <w:r>
              <w:rPr>
                <w:rFonts w:ascii="Arial" w:hAnsi="Arial"/>
                <w:color w:val="1F1F1F"/>
                <w:sz w:val="19"/>
              </w:rPr>
              <w:t>Medium — field extensions can conflict with upgrades</w:t>
            </w:r>
          </w:p>
        </w:tc>
      </w:tr>
      <w:tr>
        <w:tc>
          <w:tcPr>
            <w:tcW w:type="dxa" w:w="2880"/>
            <w:shd w:val="clear" w:color="auto" w:fill="FFFFFF"/>
          </w:tcPr>
          <w:p>
            <w:pPr>
              <w:spacing w:before="60" w:after="60"/>
              <w:ind w:left="72"/>
            </w:pPr>
            <w:r>
              <w:rPr>
                <w:rFonts w:ascii="Arial" w:hAnsi="Arial"/>
                <w:color w:val="1F1F1F"/>
                <w:sz w:val="19"/>
              </w:rPr>
              <w:t>Data model control</w:t>
            </w:r>
          </w:p>
        </w:tc>
        <w:tc>
          <w:tcPr>
            <w:tcW w:type="dxa" w:w="3168"/>
            <w:shd w:val="clear" w:color="auto" w:fill="FFFFFF"/>
          </w:tcPr>
          <w:p>
            <w:pPr>
              <w:spacing w:before="60" w:after="60"/>
              <w:ind w:left="72"/>
            </w:pPr>
            <w:r>
              <w:rPr>
                <w:rFonts w:ascii="Arial" w:hAnsi="Arial"/>
                <w:color w:val="1F1F1F"/>
                <w:sz w:val="19"/>
              </w:rPr>
              <w:t>Full — all tables designed for this</w:t>
            </w:r>
          </w:p>
        </w:tc>
        <w:tc>
          <w:tcPr>
            <w:tcW w:type="dxa" w:w="3312"/>
            <w:shd w:val="clear" w:color="auto" w:fill="FFFFFF"/>
          </w:tcPr>
          <w:p>
            <w:pPr>
              <w:spacing w:before="60" w:after="60"/>
              <w:ind w:left="72"/>
            </w:pPr>
            <w:r>
              <w:rPr>
                <w:rFonts w:ascii="Arial" w:hAnsi="Arial"/>
                <w:color w:val="1F1F1F"/>
                <w:sz w:val="19"/>
              </w:rPr>
              <w:t>Constrained — working within native table limits</w:t>
            </w:r>
          </w:p>
        </w:tc>
      </w:tr>
      <w:tr>
        <w:tc>
          <w:tcPr>
            <w:tcW w:type="dxa" w:w="2880"/>
            <w:shd w:val="clear" w:color="auto" w:fill="F2F2F2"/>
          </w:tcPr>
          <w:p>
            <w:pPr>
              <w:spacing w:before="60" w:after="60"/>
              <w:ind w:left="72"/>
            </w:pPr>
            <w:r>
              <w:rPr>
                <w:rFonts w:ascii="Arial" w:hAnsi="Arial"/>
                <w:color w:val="1F1F1F"/>
                <w:sz w:val="19"/>
              </w:rPr>
              <w:t>Long-term commercial potential</w:t>
            </w:r>
          </w:p>
        </w:tc>
        <w:tc>
          <w:tcPr>
            <w:tcW w:type="dxa" w:w="3168"/>
            <w:shd w:val="clear" w:color="auto" w:fill="F2F2F2"/>
          </w:tcPr>
          <w:p>
            <w:pPr>
              <w:spacing w:before="60" w:after="60"/>
              <w:ind w:left="72"/>
            </w:pPr>
            <w:r>
              <w:rPr>
                <w:rFonts w:ascii="Arial" w:hAnsi="Arial"/>
                <w:color w:val="1F1F1F"/>
                <w:sz w:val="19"/>
              </w:rPr>
              <w:t>High — clean product story</w:t>
            </w:r>
          </w:p>
        </w:tc>
        <w:tc>
          <w:tcPr>
            <w:tcW w:type="dxa" w:w="3312"/>
            <w:shd w:val="clear" w:color="auto" w:fill="F2F2F2"/>
          </w:tcPr>
          <w:p>
            <w:pPr>
              <w:spacing w:before="60" w:after="60"/>
              <w:ind w:left="72"/>
            </w:pPr>
            <w:r>
              <w:rPr>
                <w:rFonts w:ascii="Arial" w:hAnsi="Arial"/>
                <w:color w:val="1F1F1F"/>
                <w:sz w:val="19"/>
              </w:rPr>
              <w:t>Lower — harder to position as a standalone product</w:t>
            </w:r>
          </w:p>
        </w:tc>
      </w:tr>
      <w:tr>
        <w:tc>
          <w:tcPr>
            <w:tcW w:type="dxa" w:w="2880"/>
            <w:shd w:val="clear" w:color="auto" w:fill="FFFFFF"/>
          </w:tcPr>
          <w:p>
            <w:pPr>
              <w:spacing w:before="60" w:after="60"/>
              <w:ind w:left="72"/>
            </w:pPr>
            <w:r>
              <w:rPr>
                <w:rFonts w:ascii="Arial" w:hAnsi="Arial"/>
                <w:color w:val="1F1F1F"/>
                <w:sz w:val="19"/>
              </w:rPr>
              <w:t>Right choice when</w:t>
            </w:r>
          </w:p>
        </w:tc>
        <w:tc>
          <w:tcPr>
            <w:tcW w:type="dxa" w:w="3168"/>
            <w:shd w:val="clear" w:color="auto" w:fill="FFFFFF"/>
          </w:tcPr>
          <w:p>
            <w:pPr>
              <w:spacing w:before="60" w:after="60"/>
              <w:ind w:left="72"/>
            </w:pPr>
            <w:r>
              <w:rPr>
                <w:rFonts w:ascii="Arial" w:hAnsi="Arial"/>
                <w:color w:val="1F1F1F"/>
                <w:sz w:val="19"/>
              </w:rPr>
              <w:t>Strategic product; Store is the goal</w:t>
            </w:r>
          </w:p>
        </w:tc>
        <w:tc>
          <w:tcPr>
            <w:tcW w:type="dxa" w:w="3312"/>
            <w:shd w:val="clear" w:color="auto" w:fill="FFFFFF"/>
          </w:tcPr>
          <w:p>
            <w:pPr>
              <w:spacing w:before="60" w:after="60"/>
              <w:ind w:left="72"/>
            </w:pPr>
            <w:r>
              <w:rPr>
                <w:rFonts w:ascii="Arial" w:hAnsi="Arial"/>
                <w:color w:val="1F1F1F"/>
                <w:sz w:val="19"/>
              </w:rPr>
              <w:t>Fast first use; customer lacks App Engine SKU</w:t>
            </w:r>
          </w:p>
        </w:tc>
      </w:tr>
    </w:tbl>
    <w:p>
      <w:pPr>
        <w:spacing w:after="120"/>
      </w:pPr>
    </w:p>
    <w:p>
      <w:r>
        <w:br w:type="page"/>
      </w:r>
    </w:p>
    <w:p>
      <w:pPr>
        <w:spacing w:before="360" w:after="120"/>
        <w:pBdr>
          <w:bottom w:val="single" w:sz="6" w:space="1" w:color="007A78"/>
        </w:pBdr>
      </w:pPr>
      <w:r>
        <w:rPr>
          <w:rFonts w:ascii="Arial" w:hAnsi="Arial"/>
          <w:b/>
          <w:color w:val="1B3A6B"/>
          <w:sz w:val="28"/>
        </w:rPr>
        <w:t>10. UPGRADE RISK MANAGEMENT</w:t>
      </w:r>
    </w:p>
    <w:p>
      <w:pPr>
        <w:spacing w:before="0" w:after="200"/>
        <w:jc w:val="left"/>
      </w:pPr>
      <w:r>
        <w:rPr>
          <w:rFonts w:ascii="Arial" w:hAnsi="Arial"/>
          <w:b w:val="0"/>
          <w:i w:val="0"/>
          <w:color w:val="1F1F1F"/>
          <w:sz w:val="21"/>
        </w:rPr>
        <w:t>Blueprint B's primary architectural risk is that field extensions on native tables can be affected by ServiceNow's biannual platform upgrades. This section defines how to manage that risk so it does not become a customer problem.</w:t>
      </w:r>
    </w:p>
    <w:p>
      <w:pPr>
        <w:spacing w:before="240" w:after="80"/>
      </w:pPr>
      <w:r>
        <w:rPr>
          <w:rFonts w:ascii="Arial" w:hAnsi="Arial"/>
          <w:b/>
          <w:color w:val="007A78"/>
          <w:sz w:val="24"/>
        </w:rPr>
        <w:t>10.1  Risk Mitigation Practices</w:t>
      </w:r>
    </w:p>
    <w:p>
      <w:pPr>
        <w:pStyle w:val="ListBullet"/>
        <w:spacing w:after="60"/>
        <w:ind w:left="360"/>
      </w:pPr>
      <w:r>
        <w:rPr>
          <w:rFonts w:ascii="Arial" w:hAnsi="Arial"/>
          <w:color w:val="1F1F1F"/>
          <w:sz w:val="21"/>
        </w:rPr>
        <w:t>Maintain a formal Extension Registry document listing every u_ecs_ field, the native table it extends, its type, and its purpose</w:t>
      </w:r>
    </w:p>
    <w:p>
      <w:pPr>
        <w:pStyle w:val="ListBullet"/>
        <w:spacing w:after="60"/>
        <w:ind w:left="360"/>
      </w:pPr>
      <w:r>
        <w:rPr>
          <w:rFonts w:ascii="Arial" w:hAnsi="Arial"/>
          <w:color w:val="1F1F1F"/>
          <w:sz w:val="21"/>
        </w:rPr>
        <w:t>After every ServiceNow upgrade (now twice yearly), run a regression test against all ECS portal pages and health score calculations before customer is notified of upgrade</w:t>
      </w:r>
    </w:p>
    <w:p>
      <w:pPr>
        <w:pStyle w:val="ListBullet"/>
        <w:spacing w:after="60"/>
        <w:ind w:left="360"/>
      </w:pPr>
      <w:r>
        <w:rPr>
          <w:rFonts w:ascii="Arial" w:hAnsi="Arial"/>
          <w:color w:val="1F1F1F"/>
          <w:sz w:val="21"/>
        </w:rPr>
        <w:t>Keep all ECS fields in a dedicated update set so they can be reapplied cleanly if an upgrade conflicts</w:t>
      </w:r>
    </w:p>
    <w:p>
      <w:pPr>
        <w:pStyle w:val="ListBullet"/>
        <w:spacing w:after="60"/>
        <w:ind w:left="360"/>
      </w:pPr>
      <w:r>
        <w:rPr>
          <w:rFonts w:ascii="Arial" w:hAnsi="Arial"/>
          <w:color w:val="1F1F1F"/>
          <w:sz w:val="21"/>
        </w:rPr>
        <w:t>Avoid extending tables that ServiceNow actively redesigns frequently — prefer stable tables like pm_project over rapidly evolving ones like sn_hr_case</w:t>
      </w:r>
    </w:p>
    <w:p>
      <w:pPr>
        <w:pStyle w:val="ListBullet"/>
        <w:spacing w:after="60"/>
        <w:ind w:left="360"/>
      </w:pPr>
      <w:r>
        <w:rPr>
          <w:rFonts w:ascii="Arial" w:hAnsi="Arial"/>
          <w:color w:val="1F1F1F"/>
          <w:sz w:val="21"/>
        </w:rPr>
        <w:t>Document fallback behaviour for each integration: if a native table changes structure, what does the health score do? Defaults should degrade gracefully, not error</w:t>
      </w:r>
    </w:p>
    <w:p>
      <w:pPr>
        <w:spacing w:before="240" w:after="80"/>
      </w:pPr>
      <w:r>
        <w:rPr>
          <w:rFonts w:ascii="Arial" w:hAnsi="Arial"/>
          <w:b/>
          <w:color w:val="007A78"/>
          <w:sz w:val="24"/>
        </w:rPr>
        <w:t>10.2  Tables Assessed as Stable vs. Higher Risk</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2160"/>
            <w:shd w:val="clear" w:color="auto" w:fill="007A78"/>
          </w:tcPr>
          <w:p>
            <w:pPr>
              <w:spacing w:before="80" w:after="80"/>
              <w:ind w:left="72"/>
            </w:pPr>
            <w:r>
              <w:rPr>
                <w:rFonts w:ascii="Arial" w:hAnsi="Arial"/>
                <w:b/>
                <w:color w:val="FFFFFF"/>
                <w:sz w:val="20"/>
              </w:rPr>
              <w:t>Table</w:t>
            </w:r>
          </w:p>
        </w:tc>
        <w:tc>
          <w:tcPr>
            <w:tcW w:type="dxa" w:w="1728"/>
            <w:shd w:val="clear" w:color="auto" w:fill="007A78"/>
          </w:tcPr>
          <w:p>
            <w:pPr>
              <w:spacing w:before="80" w:after="80"/>
              <w:ind w:left="72"/>
            </w:pPr>
            <w:r>
              <w:rPr>
                <w:rFonts w:ascii="Arial" w:hAnsi="Arial"/>
                <w:b/>
                <w:color w:val="FFFFFF"/>
                <w:sz w:val="20"/>
              </w:rPr>
              <w:t>Stability Assessment</w:t>
            </w:r>
          </w:p>
        </w:tc>
        <w:tc>
          <w:tcPr>
            <w:tcW w:type="dxa" w:w="5472"/>
            <w:shd w:val="clear" w:color="auto" w:fill="007A78"/>
          </w:tcPr>
          <w:p>
            <w:pPr>
              <w:spacing w:before="80" w:after="80"/>
              <w:ind w:left="72"/>
            </w:pPr>
            <w:r>
              <w:rPr>
                <w:rFonts w:ascii="Arial" w:hAnsi="Arial"/>
                <w:b/>
                <w:color w:val="FFFFFF"/>
                <w:sz w:val="20"/>
              </w:rPr>
              <w:t>Basis</w:t>
            </w:r>
          </w:p>
        </w:tc>
      </w:tr>
      <w:tr>
        <w:tc>
          <w:tcPr>
            <w:tcW w:type="dxa" w:w="2160"/>
            <w:shd w:val="clear" w:color="auto" w:fill="F2F2F2"/>
          </w:tcPr>
          <w:p>
            <w:pPr>
              <w:spacing w:before="60" w:after="60"/>
              <w:ind w:left="72"/>
            </w:pPr>
            <w:r>
              <w:rPr>
                <w:rFonts w:ascii="Arial" w:hAnsi="Arial"/>
                <w:color w:val="1F1F1F"/>
                <w:sz w:val="19"/>
              </w:rPr>
              <w:t>pm_project</w:t>
            </w:r>
          </w:p>
        </w:tc>
        <w:tc>
          <w:tcPr>
            <w:tcW w:type="dxa" w:w="1728"/>
            <w:shd w:val="clear" w:color="auto" w:fill="F2F2F2"/>
          </w:tcPr>
          <w:p>
            <w:pPr>
              <w:spacing w:before="60" w:after="60"/>
              <w:ind w:left="72"/>
            </w:pPr>
            <w:r>
              <w:rPr>
                <w:rFonts w:ascii="Arial" w:hAnsi="Arial"/>
                <w:color w:val="1F1F1F"/>
                <w:sz w:val="19"/>
              </w:rPr>
              <w:t>Stable</w:t>
            </w:r>
          </w:p>
        </w:tc>
        <w:tc>
          <w:tcPr>
            <w:tcW w:type="dxa" w:w="5472"/>
            <w:shd w:val="clear" w:color="auto" w:fill="F2F2F2"/>
          </w:tcPr>
          <w:p>
            <w:pPr>
              <w:spacing w:before="60" w:after="60"/>
              <w:ind w:left="72"/>
            </w:pPr>
            <w:r>
              <w:rPr>
                <w:rFonts w:ascii="Arial" w:hAnsi="Arial"/>
                <w:color w:val="1F1F1F"/>
                <w:sz w:val="19"/>
              </w:rPr>
              <w:t>SPM table — changes are additive, not structural, in recent upgrade history</w:t>
            </w:r>
          </w:p>
        </w:tc>
      </w:tr>
      <w:tr>
        <w:tc>
          <w:tcPr>
            <w:tcW w:type="dxa" w:w="2160"/>
            <w:shd w:val="clear" w:color="auto" w:fill="FFFFFF"/>
          </w:tcPr>
          <w:p>
            <w:pPr>
              <w:spacing w:before="60" w:after="60"/>
              <w:ind w:left="72"/>
            </w:pPr>
            <w:r>
              <w:rPr>
                <w:rFonts w:ascii="Arial" w:hAnsi="Arial"/>
                <w:color w:val="1F1F1F"/>
                <w:sz w:val="19"/>
              </w:rPr>
              <w:t>pm_project_task</w:t>
            </w:r>
          </w:p>
        </w:tc>
        <w:tc>
          <w:tcPr>
            <w:tcW w:type="dxa" w:w="1728"/>
            <w:shd w:val="clear" w:color="auto" w:fill="FFFFFF"/>
          </w:tcPr>
          <w:p>
            <w:pPr>
              <w:spacing w:before="60" w:after="60"/>
              <w:ind w:left="72"/>
            </w:pPr>
            <w:r>
              <w:rPr>
                <w:rFonts w:ascii="Arial" w:hAnsi="Arial"/>
                <w:color w:val="1F1F1F"/>
                <w:sz w:val="19"/>
              </w:rPr>
              <w:t>Stable</w:t>
            </w:r>
          </w:p>
        </w:tc>
        <w:tc>
          <w:tcPr>
            <w:tcW w:type="dxa" w:w="5472"/>
            <w:shd w:val="clear" w:color="auto" w:fill="FFFFFF"/>
          </w:tcPr>
          <w:p>
            <w:pPr>
              <w:spacing w:before="60" w:after="60"/>
              <w:ind w:left="72"/>
            </w:pPr>
            <w:r>
              <w:rPr>
                <w:rFonts w:ascii="Arial" w:hAnsi="Arial"/>
                <w:color w:val="1F1F1F"/>
                <w:sz w:val="19"/>
              </w:rPr>
              <w:t>Same lineage as pm_project — low structural change risk</w:t>
            </w:r>
          </w:p>
        </w:tc>
      </w:tr>
      <w:tr>
        <w:tc>
          <w:tcPr>
            <w:tcW w:type="dxa" w:w="2160"/>
            <w:shd w:val="clear" w:color="auto" w:fill="F2F2F2"/>
          </w:tcPr>
          <w:p>
            <w:pPr>
              <w:spacing w:before="60" w:after="60"/>
              <w:ind w:left="72"/>
            </w:pPr>
            <w:r>
              <w:rPr>
                <w:rFonts w:ascii="Arial" w:hAnsi="Arial"/>
                <w:color w:val="1F1F1F"/>
                <w:sz w:val="19"/>
              </w:rPr>
              <w:t>kb_knowledge</w:t>
            </w:r>
          </w:p>
        </w:tc>
        <w:tc>
          <w:tcPr>
            <w:tcW w:type="dxa" w:w="1728"/>
            <w:shd w:val="clear" w:color="auto" w:fill="F2F2F2"/>
          </w:tcPr>
          <w:p>
            <w:pPr>
              <w:spacing w:before="60" w:after="60"/>
              <w:ind w:left="72"/>
            </w:pPr>
            <w:r>
              <w:rPr>
                <w:rFonts w:ascii="Arial" w:hAnsi="Arial"/>
                <w:color w:val="1F1F1F"/>
                <w:sz w:val="19"/>
              </w:rPr>
              <w:t>Stable</w:t>
            </w:r>
          </w:p>
        </w:tc>
        <w:tc>
          <w:tcPr>
            <w:tcW w:type="dxa" w:w="5472"/>
            <w:shd w:val="clear" w:color="auto" w:fill="F2F2F2"/>
          </w:tcPr>
          <w:p>
            <w:pPr>
              <w:spacing w:before="60" w:after="60"/>
              <w:ind w:left="72"/>
            </w:pPr>
            <w:r>
              <w:rPr>
                <w:rFonts w:ascii="Arial" w:hAnsi="Arial"/>
                <w:color w:val="1F1F1F"/>
                <w:sz w:val="19"/>
              </w:rPr>
              <w:t>Knowledge table has been structurally stable for multiple major versions</w:t>
            </w:r>
          </w:p>
        </w:tc>
      </w:tr>
      <w:tr>
        <w:tc>
          <w:tcPr>
            <w:tcW w:type="dxa" w:w="2160"/>
            <w:shd w:val="clear" w:color="auto" w:fill="FFFFFF"/>
          </w:tcPr>
          <w:p>
            <w:pPr>
              <w:spacing w:before="60" w:after="60"/>
              <w:ind w:left="72"/>
            </w:pPr>
            <w:r>
              <w:rPr>
                <w:rFonts w:ascii="Arial" w:hAnsi="Arial"/>
                <w:color w:val="1F1F1F"/>
                <w:sz w:val="19"/>
              </w:rPr>
              <w:t>sn_risk_risk</w:t>
            </w:r>
          </w:p>
        </w:tc>
        <w:tc>
          <w:tcPr>
            <w:tcW w:type="dxa" w:w="1728"/>
            <w:shd w:val="clear" w:color="auto" w:fill="FFFFFF"/>
          </w:tcPr>
          <w:p>
            <w:pPr>
              <w:spacing w:before="60" w:after="60"/>
              <w:ind w:left="72"/>
            </w:pPr>
            <w:r>
              <w:rPr>
                <w:rFonts w:ascii="Arial" w:hAnsi="Arial"/>
                <w:color w:val="1F1F1F"/>
                <w:sz w:val="19"/>
              </w:rPr>
              <w:t>Medium</w:t>
            </w:r>
          </w:p>
        </w:tc>
        <w:tc>
          <w:tcPr>
            <w:tcW w:type="dxa" w:w="5472"/>
            <w:shd w:val="clear" w:color="auto" w:fill="FFFFFF"/>
          </w:tcPr>
          <w:p>
            <w:pPr>
              <w:spacing w:before="60" w:after="60"/>
              <w:ind w:left="72"/>
            </w:pPr>
            <w:r>
              <w:rPr>
                <w:rFonts w:ascii="Arial" w:hAnsi="Arial"/>
                <w:color w:val="1F1F1F"/>
                <w:sz w:val="19"/>
              </w:rPr>
              <w:t>GRC module evolves more frequently — monitor upgrade notes</w:t>
            </w:r>
          </w:p>
        </w:tc>
      </w:tr>
      <w:tr>
        <w:tc>
          <w:tcPr>
            <w:tcW w:type="dxa" w:w="2160"/>
            <w:shd w:val="clear" w:color="auto" w:fill="F2F2F2"/>
          </w:tcPr>
          <w:p>
            <w:pPr>
              <w:spacing w:before="60" w:after="60"/>
              <w:ind w:left="72"/>
            </w:pPr>
            <w:r>
              <w:rPr>
                <w:rFonts w:ascii="Arial" w:hAnsi="Arial"/>
                <w:color w:val="1F1F1F"/>
                <w:sz w:val="19"/>
              </w:rPr>
              <w:t>sc_task</w:t>
            </w:r>
          </w:p>
        </w:tc>
        <w:tc>
          <w:tcPr>
            <w:tcW w:type="dxa" w:w="1728"/>
            <w:shd w:val="clear" w:color="auto" w:fill="F2F2F2"/>
          </w:tcPr>
          <w:p>
            <w:pPr>
              <w:spacing w:before="60" w:after="60"/>
              <w:ind w:left="72"/>
            </w:pPr>
            <w:r>
              <w:rPr>
                <w:rFonts w:ascii="Arial" w:hAnsi="Arial"/>
                <w:color w:val="1F1F1F"/>
                <w:sz w:val="19"/>
              </w:rPr>
              <w:t>Stable</w:t>
            </w:r>
          </w:p>
        </w:tc>
        <w:tc>
          <w:tcPr>
            <w:tcW w:type="dxa" w:w="5472"/>
            <w:shd w:val="clear" w:color="auto" w:fill="F2F2F2"/>
          </w:tcPr>
          <w:p>
            <w:pPr>
              <w:spacing w:before="60" w:after="60"/>
              <w:ind w:left="72"/>
            </w:pPr>
            <w:r>
              <w:rPr>
                <w:rFonts w:ascii="Arial" w:hAnsi="Arial"/>
                <w:color w:val="1F1F1F"/>
                <w:sz w:val="19"/>
              </w:rPr>
              <w:t>Catalog task table is foundational — rarely restructured</w:t>
            </w:r>
          </w:p>
        </w:tc>
      </w:tr>
      <w:tr>
        <w:tc>
          <w:tcPr>
            <w:tcW w:type="dxa" w:w="2160"/>
            <w:shd w:val="clear" w:color="auto" w:fill="FFFFFF"/>
          </w:tcPr>
          <w:p>
            <w:pPr>
              <w:spacing w:before="60" w:after="60"/>
              <w:ind w:left="72"/>
            </w:pPr>
            <w:r>
              <w:rPr>
                <w:rFonts w:ascii="Arial" w:hAnsi="Arial"/>
                <w:color w:val="1F1F1F"/>
                <w:sz w:val="19"/>
              </w:rPr>
              <w:t>rm_story</w:t>
            </w:r>
          </w:p>
        </w:tc>
        <w:tc>
          <w:tcPr>
            <w:tcW w:type="dxa" w:w="1728"/>
            <w:shd w:val="clear" w:color="auto" w:fill="FFFFFF"/>
          </w:tcPr>
          <w:p>
            <w:pPr>
              <w:spacing w:before="60" w:after="60"/>
              <w:ind w:left="72"/>
            </w:pPr>
            <w:r>
              <w:rPr>
                <w:rFonts w:ascii="Arial" w:hAnsi="Arial"/>
                <w:color w:val="1F1F1F"/>
                <w:sz w:val="19"/>
              </w:rPr>
              <w:t>Medium</w:t>
            </w:r>
          </w:p>
        </w:tc>
        <w:tc>
          <w:tcPr>
            <w:tcW w:type="dxa" w:w="5472"/>
            <w:shd w:val="clear" w:color="auto" w:fill="FFFFFF"/>
          </w:tcPr>
          <w:p>
            <w:pPr>
              <w:spacing w:before="60" w:after="60"/>
              <w:ind w:left="72"/>
            </w:pPr>
            <w:r>
              <w:rPr>
                <w:rFonts w:ascii="Arial" w:hAnsi="Arial"/>
                <w:color w:val="1F1F1F"/>
                <w:sz w:val="19"/>
              </w:rPr>
              <w:t>Agile module has seen more active development — test post-upgrade</w:t>
            </w:r>
          </w:p>
        </w:tc>
      </w:tr>
    </w:tbl>
    <w:p>
      <w:pPr>
        <w:spacing w:after="120"/>
      </w:pPr>
    </w:p>
    <w:p>
      <w:r>
        <w:br w:type="page"/>
      </w:r>
    </w:p>
    <w:p>
      <w:pPr>
        <w:spacing w:before="360" w:after="120"/>
        <w:pBdr>
          <w:bottom w:val="single" w:sz="6" w:space="1" w:color="007A78"/>
        </w:pBdr>
      </w:pPr>
      <w:r>
        <w:rPr>
          <w:rFonts w:ascii="Arial" w:hAnsi="Arial"/>
          <w:b/>
          <w:color w:val="1B3A6B"/>
          <w:sz w:val="28"/>
        </w:rPr>
        <w:t>11. DECISION POINTS FOR DIRECTOR OF TECHNICAL SERVICES REVIEW</w:t>
      </w:r>
    </w:p>
    <w:p>
      <w:pPr>
        <w:spacing w:before="0" w:after="200"/>
        <w:jc w:val="left"/>
      </w:pPr>
      <w:r>
        <w:rPr>
          <w:rFonts w:ascii="Arial" w:hAnsi="Arial"/>
          <w:b w:val="0"/>
          <w:i w:val="0"/>
          <w:color w:val="1F1F1F"/>
          <w:sz w:val="21"/>
        </w:rPr>
        <w:t>The following decisions are specific to Blueprint B and should be resolved in the architecture review session.</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40"/>
        <w:gridCol w:w="2340"/>
        <w:gridCol w:w="2340"/>
        <w:gridCol w:w="2340"/>
      </w:tblGrid>
      <w:tr>
        <w:tc>
          <w:tcPr>
            <w:tcW w:type="dxa" w:w="2160"/>
            <w:shd w:val="clear" w:color="auto" w:fill="007A78"/>
          </w:tcPr>
          <w:p>
            <w:pPr>
              <w:spacing w:before="80" w:after="80"/>
              <w:ind w:left="72"/>
            </w:pPr>
            <w:r>
              <w:rPr>
                <w:rFonts w:ascii="Arial" w:hAnsi="Arial"/>
                <w:b/>
                <w:color w:val="FFFFFF"/>
                <w:sz w:val="20"/>
              </w:rPr>
              <w:t>Decision</w:t>
            </w:r>
          </w:p>
        </w:tc>
        <w:tc>
          <w:tcPr>
            <w:tcW w:type="dxa" w:w="2160"/>
            <w:shd w:val="clear" w:color="auto" w:fill="007A78"/>
          </w:tcPr>
          <w:p>
            <w:pPr>
              <w:spacing w:before="80" w:after="80"/>
              <w:ind w:left="72"/>
            </w:pPr>
            <w:r>
              <w:rPr>
                <w:rFonts w:ascii="Arial" w:hAnsi="Arial"/>
                <w:b/>
                <w:color w:val="FFFFFF"/>
                <w:sz w:val="20"/>
              </w:rPr>
              <w:t>Options</w:t>
            </w:r>
          </w:p>
        </w:tc>
        <w:tc>
          <w:tcPr>
            <w:tcW w:type="dxa" w:w="2160"/>
            <w:shd w:val="clear" w:color="auto" w:fill="007A78"/>
          </w:tcPr>
          <w:p>
            <w:pPr>
              <w:spacing w:before="80" w:after="80"/>
              <w:ind w:left="72"/>
            </w:pPr>
            <w:r>
              <w:rPr>
                <w:rFonts w:ascii="Arial" w:hAnsi="Arial"/>
                <w:b/>
                <w:color w:val="FFFFFF"/>
                <w:sz w:val="20"/>
              </w:rPr>
              <w:t>Recommended Default</w:t>
            </w:r>
          </w:p>
        </w:tc>
        <w:tc>
          <w:tcPr>
            <w:tcW w:type="dxa" w:w="2880"/>
            <w:shd w:val="clear" w:color="auto" w:fill="007A78"/>
          </w:tcPr>
          <w:p>
            <w:pPr>
              <w:spacing w:before="80" w:after="80"/>
              <w:ind w:left="72"/>
            </w:pPr>
            <w:r>
              <w:rPr>
                <w:rFonts w:ascii="Arial" w:hAnsi="Arial"/>
                <w:b/>
                <w:color w:val="FFFFFF"/>
                <w:sz w:val="20"/>
              </w:rPr>
              <w:t>Implication</w:t>
            </w:r>
          </w:p>
        </w:tc>
      </w:tr>
      <w:tr>
        <w:tc>
          <w:tcPr>
            <w:tcW w:type="dxa" w:w="2160"/>
            <w:shd w:val="clear" w:color="auto" w:fill="F2F2F2"/>
          </w:tcPr>
          <w:p>
            <w:pPr>
              <w:spacing w:before="60" w:after="60"/>
              <w:ind w:left="72"/>
            </w:pPr>
            <w:r>
              <w:rPr>
                <w:rFonts w:ascii="Arial" w:hAnsi="Arial"/>
                <w:color w:val="1F1F1F"/>
                <w:sz w:val="19"/>
              </w:rPr>
              <w:t>Risk table: GRC or Task fallback</w:t>
            </w:r>
          </w:p>
        </w:tc>
        <w:tc>
          <w:tcPr>
            <w:tcW w:type="dxa" w:w="2160"/>
            <w:shd w:val="clear" w:color="auto" w:fill="F2F2F2"/>
          </w:tcPr>
          <w:p>
            <w:pPr>
              <w:spacing w:before="60" w:after="60"/>
              <w:ind w:left="72"/>
            </w:pPr>
            <w:r>
              <w:rPr>
                <w:rFonts w:ascii="Arial" w:hAnsi="Arial"/>
                <w:color w:val="1F1F1F"/>
                <w:sz w:val="19"/>
              </w:rPr>
              <w:t>Extend sn_risk_risk or extend Task</w:t>
            </w:r>
          </w:p>
        </w:tc>
        <w:tc>
          <w:tcPr>
            <w:tcW w:type="dxa" w:w="2160"/>
            <w:shd w:val="clear" w:color="auto" w:fill="F2F2F2"/>
          </w:tcPr>
          <w:p>
            <w:pPr>
              <w:spacing w:before="60" w:after="60"/>
              <w:ind w:left="72"/>
            </w:pPr>
            <w:r>
              <w:rPr>
                <w:rFonts w:ascii="Arial" w:hAnsi="Arial"/>
                <w:color w:val="1F1F1F"/>
                <w:sz w:val="19"/>
              </w:rPr>
              <w:t>sn_risk_risk if GRC licensed; Task fallback otherwise</w:t>
            </w:r>
          </w:p>
        </w:tc>
        <w:tc>
          <w:tcPr>
            <w:tcW w:type="dxa" w:w="2880"/>
            <w:shd w:val="clear" w:color="auto" w:fill="F2F2F2"/>
          </w:tcPr>
          <w:p>
            <w:pPr>
              <w:spacing w:before="60" w:after="60"/>
              <w:ind w:left="72"/>
            </w:pPr>
            <w:r>
              <w:rPr>
                <w:rFonts w:ascii="Arial" w:hAnsi="Arial"/>
                <w:color w:val="1F1F1F"/>
                <w:sz w:val="19"/>
              </w:rPr>
              <w:t>Confirm GRC licensing during Sprint 0 — drive consistent approach across all engagements</w:t>
            </w:r>
          </w:p>
        </w:tc>
      </w:tr>
      <w:tr>
        <w:tc>
          <w:tcPr>
            <w:tcW w:type="dxa" w:w="2160"/>
            <w:shd w:val="clear" w:color="auto" w:fill="FFFFFF"/>
          </w:tcPr>
          <w:p>
            <w:pPr>
              <w:spacing w:before="60" w:after="60"/>
              <w:ind w:left="72"/>
            </w:pPr>
            <w:r>
              <w:rPr>
                <w:rFonts w:ascii="Arial" w:hAnsi="Arial"/>
                <w:color w:val="1F1F1F"/>
                <w:sz w:val="19"/>
              </w:rPr>
              <w:t>Decision record: sc_task or custom</w:t>
            </w:r>
          </w:p>
        </w:tc>
        <w:tc>
          <w:tcPr>
            <w:tcW w:type="dxa" w:w="2160"/>
            <w:shd w:val="clear" w:color="auto" w:fill="FFFFFF"/>
          </w:tcPr>
          <w:p>
            <w:pPr>
              <w:spacing w:before="60" w:after="60"/>
              <w:ind w:left="72"/>
            </w:pPr>
            <w:r>
              <w:rPr>
                <w:rFonts w:ascii="Arial" w:hAnsi="Arial"/>
                <w:color w:val="1F1F1F"/>
                <w:sz w:val="19"/>
              </w:rPr>
              <w:t>Extend sc_task or Request Catalog Item</w:t>
            </w:r>
          </w:p>
        </w:tc>
        <w:tc>
          <w:tcPr>
            <w:tcW w:type="dxa" w:w="2160"/>
            <w:shd w:val="clear" w:color="auto" w:fill="FFFFFF"/>
          </w:tcPr>
          <w:p>
            <w:pPr>
              <w:spacing w:before="60" w:after="60"/>
              <w:ind w:left="72"/>
            </w:pPr>
            <w:r>
              <w:rPr>
                <w:rFonts w:ascii="Arial" w:hAnsi="Arial"/>
                <w:color w:val="1F1F1F"/>
                <w:sz w:val="19"/>
              </w:rPr>
              <w:t>Extend sc_task</w:t>
            </w:r>
          </w:p>
        </w:tc>
        <w:tc>
          <w:tcPr>
            <w:tcW w:type="dxa" w:w="2880"/>
            <w:shd w:val="clear" w:color="auto" w:fill="FFFFFF"/>
          </w:tcPr>
          <w:p>
            <w:pPr>
              <w:spacing w:before="60" w:after="60"/>
              <w:ind w:left="72"/>
            </w:pPr>
            <w:r>
              <w:rPr>
                <w:rFonts w:ascii="Arial" w:hAnsi="Arial"/>
                <w:color w:val="1F1F1F"/>
                <w:sz w:val="19"/>
              </w:rPr>
              <w:t>Catalog Item approach gives nicer UI but adds catalog complexity; sc_task is simpler</w:t>
            </w:r>
          </w:p>
        </w:tc>
      </w:tr>
      <w:tr>
        <w:tc>
          <w:tcPr>
            <w:tcW w:type="dxa" w:w="2160"/>
            <w:shd w:val="clear" w:color="auto" w:fill="F2F2F2"/>
          </w:tcPr>
          <w:p>
            <w:pPr>
              <w:spacing w:before="60" w:after="60"/>
              <w:ind w:left="72"/>
            </w:pPr>
            <w:r>
              <w:rPr>
                <w:rFonts w:ascii="Arial" w:hAnsi="Arial"/>
                <w:color w:val="1F1F1F"/>
                <w:sz w:val="19"/>
              </w:rPr>
              <w:t>Content in KB or separate</w:t>
            </w:r>
          </w:p>
        </w:tc>
        <w:tc>
          <w:tcPr>
            <w:tcW w:type="dxa" w:w="2160"/>
            <w:shd w:val="clear" w:color="auto" w:fill="F2F2F2"/>
          </w:tcPr>
          <w:p>
            <w:pPr>
              <w:spacing w:before="60" w:after="60"/>
              <w:ind w:left="72"/>
            </w:pPr>
            <w:r>
              <w:rPr>
                <w:rFonts w:ascii="Arial" w:hAnsi="Arial"/>
                <w:color w:val="1F1F1F"/>
                <w:sz w:val="19"/>
              </w:rPr>
              <w:t>Tag existing KB or new KB category</w:t>
            </w:r>
          </w:p>
        </w:tc>
        <w:tc>
          <w:tcPr>
            <w:tcW w:type="dxa" w:w="2160"/>
            <w:shd w:val="clear" w:color="auto" w:fill="F2F2F2"/>
          </w:tcPr>
          <w:p>
            <w:pPr>
              <w:spacing w:before="60" w:after="60"/>
              <w:ind w:left="72"/>
            </w:pPr>
            <w:r>
              <w:rPr>
                <w:rFonts w:ascii="Arial" w:hAnsi="Arial"/>
                <w:color w:val="1F1F1F"/>
                <w:sz w:val="19"/>
              </w:rPr>
              <w:t>New KB category tagged u_ecs_ecs_content=true</w:t>
            </w:r>
          </w:p>
        </w:tc>
        <w:tc>
          <w:tcPr>
            <w:tcW w:type="dxa" w:w="2880"/>
            <w:shd w:val="clear" w:color="auto" w:fill="F2F2F2"/>
          </w:tcPr>
          <w:p>
            <w:pPr>
              <w:spacing w:before="60" w:after="60"/>
              <w:ind w:left="72"/>
            </w:pPr>
            <w:r>
              <w:rPr>
                <w:rFonts w:ascii="Arial" w:hAnsi="Arial"/>
                <w:color w:val="1F1F1F"/>
                <w:sz w:val="19"/>
              </w:rPr>
              <w:t>Separate category keeps methodology content distinct from operational KB</w:t>
            </w:r>
          </w:p>
        </w:tc>
      </w:tr>
      <w:tr>
        <w:tc>
          <w:tcPr>
            <w:tcW w:type="dxa" w:w="2160"/>
            <w:shd w:val="clear" w:color="auto" w:fill="FFFFFF"/>
          </w:tcPr>
          <w:p>
            <w:pPr>
              <w:spacing w:before="60" w:after="60"/>
              <w:ind w:left="72"/>
            </w:pPr>
            <w:r>
              <w:rPr>
                <w:rFonts w:ascii="Arial" w:hAnsi="Arial"/>
                <w:color w:val="1F1F1F"/>
                <w:sz w:val="19"/>
              </w:rPr>
              <w:t>PA fallback strategy</w:t>
            </w:r>
          </w:p>
        </w:tc>
        <w:tc>
          <w:tcPr>
            <w:tcW w:type="dxa" w:w="2160"/>
            <w:shd w:val="clear" w:color="auto" w:fill="FFFFFF"/>
          </w:tcPr>
          <w:p>
            <w:pPr>
              <w:spacing w:before="60" w:after="60"/>
              <w:ind w:left="72"/>
            </w:pPr>
            <w:r>
              <w:rPr>
                <w:rFonts w:ascii="Arial" w:hAnsi="Arial"/>
                <w:color w:val="1F1F1F"/>
                <w:sz w:val="19"/>
              </w:rPr>
              <w:t>Native reports or PA if licensed</w:t>
            </w:r>
          </w:p>
        </w:tc>
        <w:tc>
          <w:tcPr>
            <w:tcW w:type="dxa" w:w="2160"/>
            <w:shd w:val="clear" w:color="auto" w:fill="FFFFFF"/>
          </w:tcPr>
          <w:p>
            <w:pPr>
              <w:spacing w:before="60" w:after="60"/>
              <w:ind w:left="72"/>
            </w:pPr>
            <w:r>
              <w:rPr>
                <w:rFonts w:ascii="Arial" w:hAnsi="Arial"/>
                <w:color w:val="1F1F1F"/>
                <w:sz w:val="19"/>
              </w:rPr>
              <w:t>Native reports with PA as upgrade if customer has it</w:t>
            </w:r>
          </w:p>
        </w:tc>
        <w:tc>
          <w:tcPr>
            <w:tcW w:type="dxa" w:w="2880"/>
            <w:shd w:val="clear" w:color="auto" w:fill="FFFFFF"/>
          </w:tcPr>
          <w:p>
            <w:pPr>
              <w:spacing w:before="60" w:after="60"/>
              <w:ind w:left="72"/>
            </w:pPr>
            <w:r>
              <w:rPr>
                <w:rFonts w:ascii="Arial" w:hAnsi="Arial"/>
                <w:color w:val="1F1F1F"/>
                <w:sz w:val="19"/>
              </w:rPr>
              <w:t>Design portal widgets to work without PA; use PA widget variants if available</w:t>
            </w:r>
          </w:p>
        </w:tc>
      </w:tr>
      <w:tr>
        <w:tc>
          <w:tcPr>
            <w:tcW w:type="dxa" w:w="2160"/>
            <w:shd w:val="clear" w:color="auto" w:fill="F2F2F2"/>
          </w:tcPr>
          <w:p>
            <w:pPr>
              <w:spacing w:before="60" w:after="60"/>
              <w:ind w:left="72"/>
            </w:pPr>
            <w:r>
              <w:rPr>
                <w:rFonts w:ascii="Arial" w:hAnsi="Arial"/>
                <w:color w:val="1F1F1F"/>
                <w:sz w:val="19"/>
              </w:rPr>
              <w:t>Store path: attempt or skip</w:t>
            </w:r>
          </w:p>
        </w:tc>
        <w:tc>
          <w:tcPr>
            <w:tcW w:type="dxa" w:w="2160"/>
            <w:shd w:val="clear" w:color="auto" w:fill="F2F2F2"/>
          </w:tcPr>
          <w:p>
            <w:pPr>
              <w:spacing w:before="60" w:after="60"/>
              <w:ind w:left="72"/>
            </w:pPr>
            <w:r>
              <w:rPr>
                <w:rFonts w:ascii="Arial" w:hAnsi="Arial"/>
                <w:color w:val="1F1F1F"/>
                <w:sz w:val="19"/>
              </w:rPr>
              <w:t>Pursue Store eventually or remain update set</w:t>
            </w:r>
          </w:p>
        </w:tc>
        <w:tc>
          <w:tcPr>
            <w:tcW w:type="dxa" w:w="2160"/>
            <w:shd w:val="clear" w:color="auto" w:fill="F2F2F2"/>
          </w:tcPr>
          <w:p>
            <w:pPr>
              <w:spacing w:before="60" w:after="60"/>
              <w:ind w:left="72"/>
            </w:pPr>
            <w:r>
              <w:rPr>
                <w:rFonts w:ascii="Arial" w:hAnsi="Arial"/>
                <w:color w:val="1F1F1F"/>
                <w:sz w:val="19"/>
              </w:rPr>
              <w:t>Remain update set for Blueprint B; revisit if customer demand warrants</w:t>
            </w:r>
          </w:p>
        </w:tc>
        <w:tc>
          <w:tcPr>
            <w:tcW w:type="dxa" w:w="2880"/>
            <w:shd w:val="clear" w:color="auto" w:fill="F2F2F2"/>
          </w:tcPr>
          <w:p>
            <w:pPr>
              <w:spacing w:before="60" w:after="60"/>
              <w:ind w:left="72"/>
            </w:pPr>
            <w:r>
              <w:rPr>
                <w:rFonts w:ascii="Arial" w:hAnsi="Arial"/>
                <w:color w:val="1F1F1F"/>
                <w:sz w:val="19"/>
              </w:rPr>
              <w:t>Blueprint B is harder to certify for the Store — set expectations accordingly</w:t>
            </w:r>
          </w:p>
        </w:tc>
      </w:tr>
      <w:tr>
        <w:tc>
          <w:tcPr>
            <w:tcW w:type="dxa" w:w="2160"/>
            <w:shd w:val="clear" w:color="auto" w:fill="FFFFFF"/>
          </w:tcPr>
          <w:p>
            <w:pPr>
              <w:spacing w:before="60" w:after="60"/>
              <w:ind w:left="72"/>
            </w:pPr>
            <w:r>
              <w:rPr>
                <w:rFonts w:ascii="Arial" w:hAnsi="Arial"/>
                <w:color w:val="1F1F1F"/>
                <w:sz w:val="19"/>
              </w:rPr>
              <w:t>Upgrade regression ownership</w:t>
            </w:r>
          </w:p>
        </w:tc>
        <w:tc>
          <w:tcPr>
            <w:tcW w:type="dxa" w:w="2160"/>
            <w:shd w:val="clear" w:color="auto" w:fill="FFFFFF"/>
          </w:tcPr>
          <w:p>
            <w:pPr>
              <w:spacing w:before="60" w:after="60"/>
              <w:ind w:left="72"/>
            </w:pPr>
            <w:r>
              <w:rPr>
                <w:rFonts w:ascii="Arial" w:hAnsi="Arial"/>
                <w:color w:val="1F1F1F"/>
                <w:sz w:val="19"/>
              </w:rPr>
              <w:t>Everforth or customer-managed</w:t>
            </w:r>
          </w:p>
        </w:tc>
        <w:tc>
          <w:tcPr>
            <w:tcW w:type="dxa" w:w="2160"/>
            <w:shd w:val="clear" w:color="auto" w:fill="FFFFFF"/>
          </w:tcPr>
          <w:p>
            <w:pPr>
              <w:spacing w:before="60" w:after="60"/>
              <w:ind w:left="72"/>
            </w:pPr>
            <w:r>
              <w:rPr>
                <w:rFonts w:ascii="Arial" w:hAnsi="Arial"/>
                <w:color w:val="1F1F1F"/>
                <w:sz w:val="19"/>
              </w:rPr>
              <w:t>Everforth-managed as part of support</w:t>
            </w:r>
          </w:p>
        </w:tc>
        <w:tc>
          <w:tcPr>
            <w:tcW w:type="dxa" w:w="2880"/>
            <w:shd w:val="clear" w:color="auto" w:fill="FFFFFF"/>
          </w:tcPr>
          <w:p>
            <w:pPr>
              <w:spacing w:before="60" w:after="60"/>
              <w:ind w:left="72"/>
            </w:pPr>
            <w:r>
              <w:rPr>
                <w:rFonts w:ascii="Arial" w:hAnsi="Arial"/>
                <w:color w:val="1F1F1F"/>
                <w:sz w:val="19"/>
              </w:rPr>
              <w:t>Need a defined support offer if we own upgrade regression; adds ongoing service commitment</w:t>
            </w:r>
          </w:p>
        </w:tc>
      </w:tr>
    </w:tbl>
    <w:p>
      <w:pPr>
        <w:spacing w:after="120"/>
      </w:pPr>
    </w:p>
    <w:p>
      <w:pPr>
        <w:spacing w:before="0" w:after="120"/>
        <w:jc w:val="left"/>
      </w:pPr>
      <w:r>
        <w:rPr>
          <w:rFonts w:ascii="Arial" w:hAnsi="Arial"/>
          <w:b w:val="0"/>
          <w:i w:val="0"/>
          <w:color w:val="1F1F1F"/>
          <w:sz w:val="20"/>
        </w:rPr>
        <w:br/>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val="clear" w:color="auto" w:fill="E8F5F5"/>
          </w:tcPr>
          <w:p>
            <w:pPr>
              <w:spacing w:before="120" w:after="40"/>
              <w:ind w:left="144"/>
            </w:pPr>
            <w:r>
              <w:rPr>
                <w:rFonts w:ascii="Arial" w:hAnsi="Arial"/>
                <w:b/>
                <w:color w:val="007A78"/>
                <w:sz w:val="20"/>
              </w:rPr>
              <w:t xml:space="preserve">Recommended review outcome:  </w:t>
            </w:r>
            <w:r>
              <w:rPr>
                <w:rFonts w:ascii="Arial" w:hAnsi="Arial"/>
                <w:color w:val="1F1F1F"/>
                <w:sz w:val="20"/>
              </w:rPr>
              <w:t>If speed to first deployment and SKU flexibility are the priority, choose Blueprint B for the first engagement and use learnings to inform whether Blueprint A is worth the additional investment. Blueprint B is not a permanent compromise — it can be rebuilt as a full custom app once the data model and portal design are proven in the field.</w:t>
            </w:r>
          </w:p>
          <w:p>
            <w:pPr>
              <w:spacing w:after="120"/>
            </w:pPr>
          </w:p>
        </w:tc>
      </w:tr>
    </w:tbl>
    <w:p>
      <w:pPr>
        <w:spacing w:after="80"/>
      </w:pPr>
    </w:p>
    <w:p>
      <w:r>
        <w:br w:type="page"/>
      </w:r>
    </w:p>
    <w:p>
      <w:pPr>
        <w:spacing w:before="360" w:after="120"/>
        <w:pBdr>
          <w:bottom w:val="single" w:sz="6" w:space="1" w:color="007A78"/>
        </w:pBdr>
      </w:pPr>
      <w:r>
        <w:rPr>
          <w:rFonts w:ascii="Arial" w:hAnsi="Arial"/>
          <w:b/>
          <w:color w:val="1B3A6B"/>
          <w:sz w:val="28"/>
        </w:rPr>
        <w:t>12. NEXT STEPS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4464"/>
            <w:shd w:val="clear" w:color="auto" w:fill="007A78"/>
          </w:tcPr>
          <w:p>
            <w:pPr>
              <w:spacing w:before="80" w:after="80"/>
              <w:ind w:left="72"/>
            </w:pPr>
            <w:r>
              <w:rPr>
                <w:rFonts w:ascii="Arial" w:hAnsi="Arial"/>
                <w:b/>
                <w:color w:val="FFFFFF"/>
                <w:sz w:val="20"/>
              </w:rPr>
              <w:t>Action</w:t>
            </w:r>
          </w:p>
        </w:tc>
        <w:tc>
          <w:tcPr>
            <w:tcW w:type="dxa" w:w="2592"/>
            <w:shd w:val="clear" w:color="auto" w:fill="007A78"/>
          </w:tcPr>
          <w:p>
            <w:pPr>
              <w:spacing w:before="80" w:after="80"/>
              <w:ind w:left="72"/>
            </w:pPr>
            <w:r>
              <w:rPr>
                <w:rFonts w:ascii="Arial" w:hAnsi="Arial"/>
                <w:b/>
                <w:color w:val="FFFFFF"/>
                <w:sz w:val="20"/>
              </w:rPr>
              <w:t>Owner</w:t>
            </w:r>
          </w:p>
        </w:tc>
        <w:tc>
          <w:tcPr>
            <w:tcW w:type="dxa" w:w="2304"/>
            <w:shd w:val="clear" w:color="auto" w:fill="007A78"/>
          </w:tcPr>
          <w:p>
            <w:pPr>
              <w:spacing w:before="80" w:after="80"/>
              <w:ind w:left="72"/>
            </w:pPr>
            <w:r>
              <w:rPr>
                <w:rFonts w:ascii="Arial" w:hAnsi="Arial"/>
                <w:b/>
                <w:color w:val="FFFFFF"/>
                <w:sz w:val="20"/>
              </w:rPr>
              <w:t>Timeline</w:t>
            </w:r>
          </w:p>
        </w:tc>
      </w:tr>
      <w:tr>
        <w:tc>
          <w:tcPr>
            <w:tcW w:type="dxa" w:w="4464"/>
            <w:shd w:val="clear" w:color="auto" w:fill="F2F2F2"/>
          </w:tcPr>
          <w:p>
            <w:pPr>
              <w:spacing w:before="60" w:after="60"/>
              <w:ind w:left="72"/>
            </w:pPr>
            <w:r>
              <w:rPr>
                <w:rFonts w:ascii="Arial" w:hAnsi="Arial"/>
                <w:color w:val="1F1F1F"/>
                <w:sz w:val="19"/>
              </w:rPr>
              <w:t>Review Blueprint A and Blueprint B with Director of Technical Services</w:t>
            </w:r>
          </w:p>
        </w:tc>
        <w:tc>
          <w:tcPr>
            <w:tcW w:type="dxa" w:w="2592"/>
            <w:shd w:val="clear" w:color="auto" w:fill="F2F2F2"/>
          </w:tcPr>
          <w:p>
            <w:pPr>
              <w:spacing w:before="60" w:after="60"/>
              <w:ind w:left="72"/>
            </w:pPr>
            <w:r>
              <w:rPr>
                <w:rFonts w:ascii="Arial" w:hAnsi="Arial"/>
                <w:color w:val="1F1F1F"/>
                <w:sz w:val="19"/>
              </w:rPr>
              <w:t>Senior Director + Shawn</w:t>
            </w:r>
          </w:p>
        </w:tc>
        <w:tc>
          <w:tcPr>
            <w:tcW w:type="dxa" w:w="2304"/>
            <w:shd w:val="clear" w:color="auto" w:fill="F2F2F2"/>
          </w:tcPr>
          <w:p>
            <w:pPr>
              <w:spacing w:before="60" w:after="60"/>
              <w:ind w:left="72"/>
            </w:pPr>
            <w:r>
              <w:rPr>
                <w:rFonts w:ascii="Arial" w:hAnsi="Arial"/>
                <w:color w:val="1F1F1F"/>
                <w:sz w:val="19"/>
              </w:rPr>
              <w:t>This week</w:t>
            </w:r>
          </w:p>
        </w:tc>
      </w:tr>
      <w:tr>
        <w:tc>
          <w:tcPr>
            <w:tcW w:type="dxa" w:w="4464"/>
            <w:shd w:val="clear" w:color="auto" w:fill="FFFFFF"/>
          </w:tcPr>
          <w:p>
            <w:pPr>
              <w:spacing w:before="60" w:after="60"/>
              <w:ind w:left="72"/>
            </w:pPr>
            <w:r>
              <w:rPr>
                <w:rFonts w:ascii="Arial" w:hAnsi="Arial"/>
                <w:color w:val="1F1F1F"/>
                <w:sz w:val="19"/>
              </w:rPr>
              <w:t>Decision: Blueprint A (Custom App) vs. Blueprint B (Table Extends)</w:t>
            </w:r>
          </w:p>
        </w:tc>
        <w:tc>
          <w:tcPr>
            <w:tcW w:type="dxa" w:w="2592"/>
            <w:shd w:val="clear" w:color="auto" w:fill="FFFFFF"/>
          </w:tcPr>
          <w:p>
            <w:pPr>
              <w:spacing w:before="60" w:after="60"/>
              <w:ind w:left="72"/>
            </w:pPr>
            <w:r>
              <w:rPr>
                <w:rFonts w:ascii="Arial" w:hAnsi="Arial"/>
                <w:color w:val="1F1F1F"/>
                <w:sz w:val="19"/>
              </w:rPr>
              <w:t>Senior Director + Shawn</w:t>
            </w:r>
          </w:p>
        </w:tc>
        <w:tc>
          <w:tcPr>
            <w:tcW w:type="dxa" w:w="2304"/>
            <w:shd w:val="clear" w:color="auto" w:fill="FFFFFF"/>
          </w:tcPr>
          <w:p>
            <w:pPr>
              <w:spacing w:before="60" w:after="60"/>
              <w:ind w:left="72"/>
            </w:pPr>
            <w:r>
              <w:rPr>
                <w:rFonts w:ascii="Arial" w:hAnsi="Arial"/>
                <w:color w:val="1F1F1F"/>
                <w:sz w:val="19"/>
              </w:rPr>
              <w:t>End of review session</w:t>
            </w:r>
          </w:p>
        </w:tc>
      </w:tr>
      <w:tr>
        <w:tc>
          <w:tcPr>
            <w:tcW w:type="dxa" w:w="4464"/>
            <w:shd w:val="clear" w:color="auto" w:fill="F2F2F2"/>
          </w:tcPr>
          <w:p>
            <w:pPr>
              <w:spacing w:before="60" w:after="60"/>
              <w:ind w:left="72"/>
            </w:pPr>
            <w:r>
              <w:rPr>
                <w:rFonts w:ascii="Arial" w:hAnsi="Arial"/>
                <w:color w:val="1F1F1F"/>
                <w:sz w:val="19"/>
              </w:rPr>
              <w:t>If Blueprint B selected: provision PDI and begin extension mapping</w:t>
            </w:r>
          </w:p>
        </w:tc>
        <w:tc>
          <w:tcPr>
            <w:tcW w:type="dxa" w:w="2592"/>
            <w:shd w:val="clear" w:color="auto" w:fill="F2F2F2"/>
          </w:tcPr>
          <w:p>
            <w:pPr>
              <w:spacing w:before="60" w:after="60"/>
              <w:ind w:left="72"/>
            </w:pPr>
            <w:r>
              <w:rPr>
                <w:rFonts w:ascii="Arial" w:hAnsi="Arial"/>
                <w:color w:val="1F1F1F"/>
                <w:sz w:val="19"/>
              </w:rPr>
              <w:t>Shawn / Architecture team</w:t>
            </w:r>
          </w:p>
        </w:tc>
        <w:tc>
          <w:tcPr>
            <w:tcW w:type="dxa" w:w="2304"/>
            <w:shd w:val="clear" w:color="auto" w:fill="F2F2F2"/>
          </w:tcPr>
          <w:p>
            <w:pPr>
              <w:spacing w:before="60" w:after="60"/>
              <w:ind w:left="72"/>
            </w:pPr>
            <w:r>
              <w:rPr>
                <w:rFonts w:ascii="Arial" w:hAnsi="Arial"/>
                <w:color w:val="1F1F1F"/>
                <w:sz w:val="19"/>
              </w:rPr>
              <w:t>1 week post-decision</w:t>
            </w:r>
          </w:p>
        </w:tc>
      </w:tr>
      <w:tr>
        <w:tc>
          <w:tcPr>
            <w:tcW w:type="dxa" w:w="4464"/>
            <w:shd w:val="clear" w:color="auto" w:fill="FFFFFF"/>
          </w:tcPr>
          <w:p>
            <w:pPr>
              <w:spacing w:before="60" w:after="60"/>
              <w:ind w:left="72"/>
            </w:pPr>
            <w:r>
              <w:rPr>
                <w:rFonts w:ascii="Arial" w:hAnsi="Arial"/>
                <w:color w:val="1F1F1F"/>
                <w:sz w:val="19"/>
              </w:rPr>
              <w:t>If Blueprint B selected: confirm GRC licensing on first target customer</w:t>
            </w:r>
          </w:p>
        </w:tc>
        <w:tc>
          <w:tcPr>
            <w:tcW w:type="dxa" w:w="2592"/>
            <w:shd w:val="clear" w:color="auto" w:fill="FFFFFF"/>
          </w:tcPr>
          <w:p>
            <w:pPr>
              <w:spacing w:before="60" w:after="60"/>
              <w:ind w:left="72"/>
            </w:pPr>
            <w:r>
              <w:rPr>
                <w:rFonts w:ascii="Arial" w:hAnsi="Arial"/>
                <w:color w:val="1F1F1F"/>
                <w:sz w:val="19"/>
              </w:rPr>
              <w:t>Delivery Manager</w:t>
            </w:r>
          </w:p>
        </w:tc>
        <w:tc>
          <w:tcPr>
            <w:tcW w:type="dxa" w:w="2304"/>
            <w:shd w:val="clear" w:color="auto" w:fill="FFFFFF"/>
          </w:tcPr>
          <w:p>
            <w:pPr>
              <w:spacing w:before="60" w:after="60"/>
              <w:ind w:left="72"/>
            </w:pPr>
            <w:r>
              <w:rPr>
                <w:rFonts w:ascii="Arial" w:hAnsi="Arial"/>
                <w:color w:val="1F1F1F"/>
                <w:sz w:val="19"/>
              </w:rPr>
              <w:t>During Sprint 0 discovery of first engagement</w:t>
            </w:r>
          </w:p>
        </w:tc>
      </w:tr>
      <w:tr>
        <w:tc>
          <w:tcPr>
            <w:tcW w:type="dxa" w:w="4464"/>
            <w:shd w:val="clear" w:color="auto" w:fill="F2F2F2"/>
          </w:tcPr>
          <w:p>
            <w:pPr>
              <w:spacing w:before="60" w:after="60"/>
              <w:ind w:left="72"/>
            </w:pPr>
            <w:r>
              <w:rPr>
                <w:rFonts w:ascii="Arial" w:hAnsi="Arial"/>
                <w:color w:val="1F1F1F"/>
                <w:sz w:val="19"/>
              </w:rPr>
              <w:t>Draft Extension Registry document — catalog all u_ecs_ fields</w:t>
            </w:r>
          </w:p>
        </w:tc>
        <w:tc>
          <w:tcPr>
            <w:tcW w:type="dxa" w:w="2592"/>
            <w:shd w:val="clear" w:color="auto" w:fill="F2F2F2"/>
          </w:tcPr>
          <w:p>
            <w:pPr>
              <w:spacing w:before="60" w:after="60"/>
              <w:ind w:left="72"/>
            </w:pPr>
            <w:r>
              <w:rPr>
                <w:rFonts w:ascii="Arial" w:hAnsi="Arial"/>
                <w:color w:val="1F1F1F"/>
                <w:sz w:val="19"/>
              </w:rPr>
              <w:t>Lead Developer</w:t>
            </w:r>
          </w:p>
        </w:tc>
        <w:tc>
          <w:tcPr>
            <w:tcW w:type="dxa" w:w="2304"/>
            <w:shd w:val="clear" w:color="auto" w:fill="F2F2F2"/>
          </w:tcPr>
          <w:p>
            <w:pPr>
              <w:spacing w:before="60" w:after="60"/>
              <w:ind w:left="72"/>
            </w:pPr>
            <w:r>
              <w:rPr>
                <w:rFonts w:ascii="Arial" w:hAnsi="Arial"/>
                <w:color w:val="1F1F1F"/>
                <w:sz w:val="19"/>
              </w:rPr>
              <w:t>Phase 1, Week 1</w:t>
            </w:r>
          </w:p>
        </w:tc>
      </w:tr>
      <w:tr>
        <w:tc>
          <w:tcPr>
            <w:tcW w:type="dxa" w:w="4464"/>
            <w:shd w:val="clear" w:color="auto" w:fill="FFFFFF"/>
          </w:tcPr>
          <w:p>
            <w:pPr>
              <w:spacing w:before="60" w:after="60"/>
              <w:ind w:left="72"/>
            </w:pPr>
            <w:r>
              <w:rPr>
                <w:rFonts w:ascii="Arial" w:hAnsi="Arial"/>
                <w:color w:val="1F1F1F"/>
                <w:sz w:val="19"/>
              </w:rPr>
              <w:t>Define upgrade regression test plan</w:t>
            </w:r>
          </w:p>
        </w:tc>
        <w:tc>
          <w:tcPr>
            <w:tcW w:type="dxa" w:w="2592"/>
            <w:shd w:val="clear" w:color="auto" w:fill="FFFFFF"/>
          </w:tcPr>
          <w:p>
            <w:pPr>
              <w:spacing w:before="60" w:after="60"/>
              <w:ind w:left="72"/>
            </w:pPr>
            <w:r>
              <w:rPr>
                <w:rFonts w:ascii="Arial" w:hAnsi="Arial"/>
                <w:color w:val="1F1F1F"/>
                <w:sz w:val="19"/>
              </w:rPr>
              <w:t>Lead Developer + Shawn</w:t>
            </w:r>
          </w:p>
        </w:tc>
        <w:tc>
          <w:tcPr>
            <w:tcW w:type="dxa" w:w="2304"/>
            <w:shd w:val="clear" w:color="auto" w:fill="FFFFFF"/>
          </w:tcPr>
          <w:p>
            <w:pPr>
              <w:spacing w:before="60" w:after="60"/>
              <w:ind w:left="72"/>
            </w:pPr>
            <w:r>
              <w:rPr>
                <w:rFonts w:ascii="Arial" w:hAnsi="Arial"/>
                <w:color w:val="1F1F1F"/>
                <w:sz w:val="19"/>
              </w:rPr>
              <w:t>Phase 1, Week 2</w:t>
            </w:r>
          </w:p>
        </w:tc>
      </w:tr>
      <w:tr>
        <w:tc>
          <w:tcPr>
            <w:tcW w:type="dxa" w:w="4464"/>
            <w:shd w:val="clear" w:color="auto" w:fill="F2F2F2"/>
          </w:tcPr>
          <w:p>
            <w:pPr>
              <w:spacing w:before="60" w:after="60"/>
              <w:ind w:left="72"/>
            </w:pPr>
            <w:r>
              <w:rPr>
                <w:rFonts w:ascii="Arial" w:hAnsi="Arial"/>
                <w:color w:val="1F1F1F"/>
                <w:sz w:val="19"/>
              </w:rPr>
              <w:t>Begin KB category and content tagging (path-independent)</w:t>
            </w:r>
          </w:p>
        </w:tc>
        <w:tc>
          <w:tcPr>
            <w:tcW w:type="dxa" w:w="2592"/>
            <w:shd w:val="clear" w:color="auto" w:fill="F2F2F2"/>
          </w:tcPr>
          <w:p>
            <w:pPr>
              <w:spacing w:before="60" w:after="60"/>
              <w:ind w:left="72"/>
            </w:pPr>
            <w:r>
              <w:rPr>
                <w:rFonts w:ascii="Arial" w:hAnsi="Arial"/>
                <w:color w:val="1F1F1F"/>
                <w:sz w:val="19"/>
              </w:rPr>
              <w:t>Delivery Manager / Practice</w:t>
            </w:r>
          </w:p>
        </w:tc>
        <w:tc>
          <w:tcPr>
            <w:tcW w:type="dxa" w:w="2304"/>
            <w:shd w:val="clear" w:color="auto" w:fill="F2F2F2"/>
          </w:tcPr>
          <w:p>
            <w:pPr>
              <w:spacing w:before="60" w:after="60"/>
              <w:ind w:left="72"/>
            </w:pPr>
            <w:r>
              <w:rPr>
                <w:rFonts w:ascii="Arial" w:hAnsi="Arial"/>
                <w:color w:val="1F1F1F"/>
                <w:sz w:val="19"/>
              </w:rPr>
              <w:t>Start immediately — does not require architecture decision</w:t>
            </w:r>
          </w:p>
        </w:tc>
      </w:tr>
      <w:tr>
        <w:tc>
          <w:tcPr>
            <w:tcW w:type="dxa" w:w="4464"/>
            <w:shd w:val="clear" w:color="auto" w:fill="FFFFFF"/>
          </w:tcPr>
          <w:p>
            <w:pPr>
              <w:spacing w:before="60" w:after="60"/>
              <w:ind w:left="72"/>
            </w:pPr>
            <w:r>
              <w:rPr>
                <w:rFonts w:ascii="Arial" w:hAnsi="Arial"/>
                <w:color w:val="1F1F1F"/>
                <w:sz w:val="19"/>
              </w:rPr>
              <w:t>Draft portal wireframes for review with practice team</w:t>
            </w:r>
          </w:p>
        </w:tc>
        <w:tc>
          <w:tcPr>
            <w:tcW w:type="dxa" w:w="2592"/>
            <w:shd w:val="clear" w:color="auto" w:fill="FFFFFF"/>
          </w:tcPr>
          <w:p>
            <w:pPr>
              <w:spacing w:before="60" w:after="60"/>
              <w:ind w:left="72"/>
            </w:pPr>
            <w:r>
              <w:rPr>
                <w:rFonts w:ascii="Arial" w:hAnsi="Arial"/>
                <w:color w:val="1F1F1F"/>
                <w:sz w:val="19"/>
              </w:rPr>
              <w:t>Delivery Manager + Architect</w:t>
            </w:r>
          </w:p>
        </w:tc>
        <w:tc>
          <w:tcPr>
            <w:tcW w:type="dxa" w:w="2304"/>
            <w:shd w:val="clear" w:color="auto" w:fill="FFFFFF"/>
          </w:tcPr>
          <w:p>
            <w:pPr>
              <w:spacing w:before="60" w:after="60"/>
              <w:ind w:left="72"/>
            </w:pPr>
            <w:r>
              <w:rPr>
                <w:rFonts w:ascii="Arial" w:hAnsi="Arial"/>
                <w:color w:val="1F1F1F"/>
                <w:sz w:val="19"/>
              </w:rPr>
              <w:t>Phase 2, Week 1</w:t>
            </w:r>
          </w:p>
        </w:tc>
      </w:tr>
      <w:tr>
        <w:tc>
          <w:tcPr>
            <w:tcW w:type="dxa" w:w="4464"/>
            <w:shd w:val="clear" w:color="auto" w:fill="F2F2F2"/>
          </w:tcPr>
          <w:p>
            <w:pPr>
              <w:spacing w:before="60" w:after="60"/>
              <w:ind w:left="72"/>
            </w:pPr>
            <w:r>
              <w:rPr>
                <w:rFonts w:ascii="Arial" w:hAnsi="Arial"/>
                <w:color w:val="1F1F1F"/>
                <w:sz w:val="19"/>
              </w:rPr>
              <w:t>Draft go-to-market one-pager for sales team</w:t>
            </w:r>
          </w:p>
        </w:tc>
        <w:tc>
          <w:tcPr>
            <w:tcW w:type="dxa" w:w="2592"/>
            <w:shd w:val="clear" w:color="auto" w:fill="F2F2F2"/>
          </w:tcPr>
          <w:p>
            <w:pPr>
              <w:spacing w:before="60" w:after="60"/>
              <w:ind w:left="72"/>
            </w:pPr>
            <w:r>
              <w:rPr>
                <w:rFonts w:ascii="Arial" w:hAnsi="Arial"/>
                <w:color w:val="1F1F1F"/>
                <w:sz w:val="19"/>
              </w:rPr>
              <w:t>Senior Director</w:t>
            </w:r>
          </w:p>
        </w:tc>
        <w:tc>
          <w:tcPr>
            <w:tcW w:type="dxa" w:w="2304"/>
            <w:shd w:val="clear" w:color="auto" w:fill="F2F2F2"/>
          </w:tcPr>
          <w:p>
            <w:pPr>
              <w:spacing w:before="60" w:after="60"/>
              <w:ind w:left="72"/>
            </w:pPr>
            <w:r>
              <w:rPr>
                <w:rFonts w:ascii="Arial" w:hAnsi="Arial"/>
                <w:color w:val="1F1F1F"/>
                <w:sz w:val="19"/>
              </w:rPr>
              <w:t>Following architecture decision</w:t>
            </w:r>
          </w:p>
        </w:tc>
      </w:tr>
    </w:tbl>
    <w:p>
      <w:pPr>
        <w:spacing w:after="120"/>
      </w:pPr>
    </w:p>
    <w:p/>
    <w:p>
      <w:pPr>
        <w:spacing w:before="40" w:after="40"/>
        <w:pBdr>
          <w:bottom w:val="single" w:sz="4" w:space="1" w:color="007A78"/>
        </w:pBdr>
      </w:pPr>
    </w:p>
    <w:p>
      <w:pPr>
        <w:spacing w:before="120"/>
        <w:jc w:val="center"/>
      </w:pPr>
      <w:r>
        <w:rPr>
          <w:rFonts w:ascii="Arial" w:hAnsi="Arial"/>
          <w:color w:val="707070"/>
          <w:sz w:val="16"/>
        </w:rPr>
        <w:t>Everforth ECS Practice  ·  ECS Delivery Intelligence Platform — Blueprint B  ·  INTERNAL  ·  May 2026</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360"/>
      </w:tabs>
    </w:pPr>
    <w:r>
      <w:rPr>
        <w:rFonts w:ascii="Calibri" w:hAnsi="Calibri"/>
        <w:color w:val="475569"/>
        <w:sz w:val="16"/>
      </w:rPr>
      <w:t>ECS Federal  ·  ServiceNow Practice  ·  Internal Use Only</w:t>
    </w:r>
    <w:r>
      <w:rPr>
        <w:rFonts w:ascii="Calibri" w:hAnsi="Calibri"/>
        <w:color w:val="475569"/>
        <w:sz w:val="16"/>
      </w:rPr>
      <w:tab/>
    </w:r>
    <w:r>
      <w:rPr>
        <w:rFonts w:ascii="Calibri" w:hAnsi="Calibri"/>
        <w:color w:val="475569"/>
        <w:sz w:val="16"/>
      </w:rPr>
      <w:t xml:space="preserve">Page </w:t>
    </w:r>
    <w:r>
      <w:rPr>
        <w:rFonts w:ascii="Calibri" w:hAnsi="Calibri"/>
        <w:color w:val="475569"/>
        <w:sz w:val="16"/>
      </w:rPr>
      <w:fldChar w:fldCharType="begin"/>
      <w:instrText> PAGE </w:instrText>
      <w:fldChar w:fldCharType="separate"/>
      <w:fldChar w:fldCharType="end"/>
    </w:r>
    <w:r>
      <w:rPr>
        <w:rFonts w:ascii="Calibri" w:hAnsi="Calibri"/>
        <w:color w:val="475569"/>
        <w:sz w:val="16"/>
      </w:rPr>
      <w:t xml:space="preserve"> of </w:t>
    </w:r>
    <w:r>
      <w:rPr>
        <w:rFonts w:ascii="Calibri" w:hAnsi="Calibri"/>
        <w:color w:val="475569"/>
        <w:sz w:val="16"/>
      </w:rPr>
      <w:fldChar w:fldCharType="begin"/>
      <w:instrText>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color="14B8A6" w:sz="8" w:space="1"/>
      </w:pBdr>
      <w:tabs>
        <w:tab w:val="right" w:pos="9360"/>
      </w:tabs>
    </w:pPr>
    <w:r>
      <w:drawing>
        <wp:inline xmlns:a="http://schemas.openxmlformats.org/drawingml/2006/main" xmlns:pic="http://schemas.openxmlformats.org/drawingml/2006/picture">
          <wp:extent cx="960120" cy="178932"/>
          <wp:docPr id="1" name="Picture 1"/>
          <wp:cNvGraphicFramePr>
            <a:graphicFrameLocks noChangeAspect="1"/>
          </wp:cNvGraphicFramePr>
          <a:graphic>
            <a:graphicData uri="http://schemas.openxmlformats.org/drawingml/2006/picture">
              <pic:pic>
                <pic:nvPicPr>
                  <pic:cNvPr id="0" name="everforth_logo_rgb.png"/>
                  <pic:cNvPicPr/>
                </pic:nvPicPr>
                <pic:blipFill>
                  <a:blip r:embed="rId1"/>
                  <a:stretch>
                    <a:fillRect/>
                  </a:stretch>
                </pic:blipFill>
                <pic:spPr>
                  <a:xfrm>
                    <a:off x="0" y="0"/>
                    <a:ext cx="960120" cy="178932"/>
                  </a:xfrm>
                  <a:prstGeom prst="rect"/>
                </pic:spPr>
              </pic:pic>
            </a:graphicData>
          </a:graphic>
        </wp:inline>
      </w:drawing>
    </w:r>
    <w:r>
      <w:rPr>
        <w:rFonts w:ascii="Calibri" w:hAnsi="Calibri"/>
        <w:color w:val="475569"/>
        <w:sz w:val="18"/>
      </w:rPr>
      <w:tab/>
    </w:r>
    <w:r>
      <w:rPr>
        <w:rFonts w:ascii="Calibri" w:hAnsi="Calibri"/>
        <w:color w:val="475569"/>
        <w:sz w:val="18"/>
      </w:rPr>
      <w:t>Internal  ·  Blueprint B: Table Extends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