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Arial" w:hAnsi="Arial"/>
          <w:b/>
          <w:color w:val="C9A02B"/>
          <w:sz w:val="20"/>
        </w:rPr>
        <w:t>EVERFORTH ECS PRACTICE</w:t>
      </w:r>
    </w:p>
    <w:p>
      <w:pPr>
        <w:spacing w:after="80"/>
        <w:jc w:val="center"/>
      </w:pPr>
      <w:r>
        <w:rPr>
          <w:rFonts w:ascii="Arial" w:hAnsi="Arial"/>
          <w:b/>
          <w:color w:val="1B3A6B"/>
          <w:sz w:val="44"/>
        </w:rPr>
        <w:t>Executive Investment Briefing</w:t>
      </w:r>
    </w:p>
    <w:p>
      <w:pPr>
        <w:spacing w:after="80"/>
        <w:jc w:val="center"/>
      </w:pPr>
      <w:r>
        <w:rPr>
          <w:rFonts w:ascii="Arial" w:hAnsi="Arial"/>
          <w:color w:val="1B3A6B"/>
          <w:sz w:val="32"/>
        </w:rPr>
        <w:t>ECS Delivery Intelligence Platform</w:t>
      </w:r>
    </w:p>
    <w:p>
      <w:pPr>
        <w:spacing w:after="120"/>
        <w:jc w:val="center"/>
      </w:pPr>
      <w:r>
        <w:rPr>
          <w:rFonts w:ascii="Arial" w:hAnsi="Arial"/>
          <w:b/>
          <w:color w:val="2E75B6"/>
          <w:sz w:val="26"/>
        </w:rPr>
        <w:t>BLUEPRINT A — FULL CUSTOM APPLICATION</w:t>
      </w:r>
    </w:p>
    <w:p>
      <w:pPr>
        <w:spacing w:before="40" w:after="40"/>
        <w:pBdr>
          <w:bottom w:val="single" w:sz="4" w:space="1" w:color="2E75B6"/>
        </w:pBdr>
      </w:pPr>
    </w:p>
    <w:p>
      <w:pPr>
        <w:spacing w:before="160"/>
        <w:jc w:val="center"/>
      </w:pPr>
      <w:r>
        <w:rPr>
          <w:rFonts w:ascii="Arial" w:hAnsi="Arial"/>
          <w:color w:val="707070"/>
          <w:sz w:val="20"/>
        </w:rPr>
        <w:t>Overhead Investment Request  ·  May 2026  ·  CONFIDENTIAL — INTERNAL</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04"/>
            <w:shd w:val="clear" w:color="auto" w:fill="1B3A6B"/>
          </w:tcPr>
          <w:p>
            <w:pPr>
              <w:spacing w:before="160" w:after="40"/>
              <w:jc w:val="center"/>
            </w:pPr>
            <w:r>
              <w:rPr>
                <w:rFonts w:ascii="Arial" w:hAnsi="Arial"/>
                <w:b/>
                <w:color w:val="FFFFFF"/>
                <w:sz w:val="28"/>
              </w:rPr>
              <w:t>16–18 Weeks</w:t>
            </w:r>
          </w:p>
          <w:p>
            <w:pPr>
              <w:spacing w:after="160"/>
              <w:jc w:val="center"/>
            </w:pPr>
            <w:r>
              <w:rPr>
                <w:rFonts w:ascii="Arial" w:hAnsi="Arial"/>
                <w:color w:val="C9A02B"/>
                <w:sz w:val="18"/>
              </w:rPr>
              <w:t>Build Duration</w:t>
            </w:r>
          </w:p>
        </w:tc>
        <w:tc>
          <w:tcPr>
            <w:tcW w:type="dxa" w:w="2304"/>
            <w:shd w:val="clear" w:color="auto" w:fill="1B3A6B"/>
          </w:tcPr>
          <w:p>
            <w:pPr>
              <w:spacing w:before="160" w:after="40"/>
              <w:jc w:val="center"/>
            </w:pPr>
            <w:r>
              <w:rPr>
                <w:rFonts w:ascii="Arial" w:hAnsi="Arial"/>
                <w:b/>
                <w:color w:val="FFFFFF"/>
                <w:sz w:val="28"/>
              </w:rPr>
              <w:t>~1,380 Hours</w:t>
            </w:r>
          </w:p>
          <w:p>
            <w:pPr>
              <w:spacing w:after="160"/>
              <w:jc w:val="center"/>
            </w:pPr>
            <w:r>
              <w:rPr>
                <w:rFonts w:ascii="Arial" w:hAnsi="Arial"/>
                <w:color w:val="C9A02B"/>
                <w:sz w:val="18"/>
              </w:rPr>
              <w:t>Total Investment</w:t>
            </w:r>
          </w:p>
        </w:tc>
        <w:tc>
          <w:tcPr>
            <w:tcW w:type="dxa" w:w="2304"/>
            <w:shd w:val="clear" w:color="auto" w:fill="1B3A6B"/>
          </w:tcPr>
          <w:p>
            <w:pPr>
              <w:spacing w:before="160" w:after="40"/>
              <w:jc w:val="center"/>
            </w:pPr>
            <w:r>
              <w:rPr>
                <w:rFonts w:ascii="Arial" w:hAnsi="Arial"/>
                <w:b/>
                <w:color w:val="FFFFFF"/>
                <w:sz w:val="28"/>
              </w:rPr>
              <w:t>5 Roles</w:t>
            </w:r>
          </w:p>
          <w:p>
            <w:pPr>
              <w:spacing w:after="160"/>
              <w:jc w:val="center"/>
            </w:pPr>
            <w:r>
              <w:rPr>
                <w:rFonts w:ascii="Arial" w:hAnsi="Arial"/>
                <w:color w:val="C9A02B"/>
                <w:sz w:val="18"/>
              </w:rPr>
              <w:t>Team Required</w:t>
            </w:r>
          </w:p>
        </w:tc>
        <w:tc>
          <w:tcPr>
            <w:tcW w:type="dxa" w:w="2304"/>
            <w:shd w:val="clear" w:color="auto" w:fill="1B3A6B"/>
          </w:tcPr>
          <w:p>
            <w:pPr>
              <w:spacing w:before="160" w:after="40"/>
              <w:jc w:val="center"/>
            </w:pPr>
            <w:r>
              <w:rPr>
                <w:rFonts w:ascii="Arial" w:hAnsi="Arial"/>
                <w:b/>
                <w:color w:val="FFFFFF"/>
                <w:sz w:val="28"/>
              </w:rPr>
              <w:t>Unlimited</w:t>
            </w:r>
          </w:p>
          <w:p>
            <w:pPr>
              <w:spacing w:after="160"/>
              <w:jc w:val="center"/>
            </w:pPr>
            <w:r>
              <w:rPr>
                <w:rFonts w:ascii="Arial" w:hAnsi="Arial"/>
                <w:color w:val="C9A02B"/>
                <w:sz w:val="18"/>
              </w:rPr>
              <w:t>Engagements Served</w:t>
            </w:r>
          </w:p>
        </w:tc>
      </w:tr>
    </w:tbl>
    <w:p/>
    <w:p>
      <w:r>
        <w:br w:type="page"/>
      </w:r>
    </w:p>
    <w:p>
      <w:pPr>
        <w:spacing w:before="320" w:after="100"/>
        <w:pBdr>
          <w:bottom w:val="single" w:sz="6" w:space="1" w:color="1B3A6B"/>
        </w:pBdr>
      </w:pPr>
      <w:r>
        <w:rPr>
          <w:rFonts w:ascii="Arial" w:hAnsi="Arial"/>
          <w:b/>
          <w:color w:val="1B3A6B"/>
          <w:sz w:val="26"/>
        </w:rPr>
        <w:t>1. EXECUTIVE SUMMARY</w:t>
      </w:r>
    </w:p>
    <w:p>
      <w:pPr>
        <w:spacing w:before="0" w:after="160"/>
        <w:jc w:val="left"/>
      </w:pPr>
      <w:r>
        <w:rPr>
          <w:rFonts w:ascii="Arial" w:hAnsi="Arial"/>
          <w:b w:val="0"/>
          <w:i w:val="0"/>
          <w:color w:val="1F1F1F"/>
          <w:sz w:val="21"/>
        </w:rPr>
        <w:t>Everforth is requesting internal overhead investment to build the ECS Delivery Intelligence Platform — a ServiceNow application that replaces every manual spreadsheet, static status report, and disconnected document in our delivery process with a living, record-driven system installed directly on the customer's ServiceNow instance.</w:t>
      </w:r>
    </w:p>
    <w:p>
      <w:pPr>
        <w:spacing w:before="0" w:after="160"/>
        <w:jc w:val="left"/>
      </w:pPr>
      <w:r>
        <w:rPr>
          <w:rFonts w:ascii="Arial" w:hAnsi="Arial"/>
          <w:b w:val="0"/>
          <w:i w:val="0"/>
          <w:color w:val="1F1F1F"/>
          <w:sz w:val="21"/>
        </w:rPr>
        <w:t>Blueprint A is the full custom application approach. It builds a scoped ServiceNow application with purpose-designed tables, a role-based portal, native Agile and SPM integrations, and a health scoring engine that gives customers real-time engagement transparency. It is the architecturally cleanest approach, the strongest commercial product, and the one best positioned for the ServiceNow Store.</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EBF3FB"/>
          </w:tcPr>
          <w:p>
            <w:pPr>
              <w:spacing w:before="100" w:after="100"/>
              <w:ind w:left="144"/>
            </w:pPr>
            <w:r>
              <w:rPr>
                <w:rFonts w:ascii="Arial" w:hAnsi="Arial"/>
                <w:b/>
                <w:color w:val="1B3A6B"/>
                <w:sz w:val="20"/>
              </w:rPr>
              <w:t xml:space="preserve">The ask:  </w:t>
            </w:r>
            <w:r>
              <w:rPr>
                <w:rFonts w:ascii="Arial" w:hAnsi="Arial"/>
                <w:color w:val="1F1F1F"/>
                <w:sz w:val="20"/>
              </w:rPr>
              <w:t>Approve ~1,380 hours of internal overhead across 5 roles over 16–18 weeks, starting June 2026. In return: a reusable platform asset that differentiates every ECS proposal, reduces delivery overhead on every engagement, and builds toward a commercially distributable ServiceNow Store product.</w:t>
            </w:r>
          </w:p>
        </w:tc>
      </w:tr>
    </w:tbl>
    <w:p>
      <w:pPr>
        <w:spacing w:after="80"/>
      </w:pPr>
    </w:p>
    <w:p>
      <w:pPr>
        <w:spacing w:before="320" w:after="100"/>
        <w:pBdr>
          <w:bottom w:val="single" w:sz="6" w:space="1" w:color="1B3A6B"/>
        </w:pBdr>
      </w:pPr>
      <w:r>
        <w:rPr>
          <w:rFonts w:ascii="Arial" w:hAnsi="Arial"/>
          <w:b/>
          <w:color w:val="1B3A6B"/>
          <w:sz w:val="26"/>
        </w:rPr>
        <w:t>2. THE OPPORTUNITY</w:t>
      </w:r>
    </w:p>
    <w:p>
      <w:pPr>
        <w:spacing w:before="0" w:after="120"/>
        <w:jc w:val="left"/>
      </w:pPr>
      <w:r>
        <w:rPr>
          <w:rFonts w:ascii="Arial" w:hAnsi="Arial"/>
          <w:b w:val="0"/>
          <w:i w:val="0"/>
          <w:color w:val="1F1F1F"/>
          <w:sz w:val="21"/>
        </w:rPr>
        <w:t>Every ECS engagement today runs on a set of manually maintained artifacts: RAG status spreadsheets updated on Fridays, risk logs in Excel, decision trackers in Word, sprint tracking worksheets that are always one version behind. These documents require time to maintain, are stale the moment they are saved, and give customers a fragmented view of what is happening on their engagement.</w:t>
      </w:r>
    </w:p>
    <w:p>
      <w:pPr>
        <w:spacing w:before="0" w:after="160"/>
        <w:jc w:val="left"/>
      </w:pPr>
      <w:r>
        <w:rPr>
          <w:rFonts w:ascii="Arial" w:hAnsi="Arial"/>
          <w:b w:val="0"/>
          <w:i w:val="0"/>
          <w:color w:val="1F1F1F"/>
          <w:sz w:val="21"/>
        </w:rPr>
        <w:t>The platform eliminates this entirely. It turns every delivery artifact into a live record in the system the customer already uses. The delivery manager's job gets simpler. The customer's trust goes up. And every completed engagement leaves an auditable delivery history that we can use for post-engagement analysis, benchmarking, and continuous improvement.</w:t>
      </w:r>
    </w:p>
    <w:p>
      <w:pPr>
        <w:spacing w:before="200" w:after="60"/>
      </w:pPr>
      <w:r>
        <w:rPr>
          <w:rFonts w:ascii="Arial" w:hAnsi="Arial"/>
          <w:b/>
          <w:color w:val="2E75B6"/>
          <w:sz w:val="22"/>
        </w:rPr>
        <w:t>What This Enables for Sales</w:t>
      </w:r>
    </w:p>
    <w:p>
      <w:pPr>
        <w:pStyle w:val="ListBullet"/>
        <w:spacing w:after="60"/>
        <w:ind w:left="360"/>
      </w:pPr>
      <w:r>
        <w:rPr>
          <w:rFonts w:ascii="Arial" w:hAnsi="Arial"/>
          <w:color w:val="1F1F1F"/>
          <w:sz w:val="21"/>
        </w:rPr>
        <w:t>Every proposal can include: 'You will have real-time visibility into your engagement through our delivery portal — from day one.'</w:t>
      </w:r>
    </w:p>
    <w:p>
      <w:pPr>
        <w:pStyle w:val="ListBullet"/>
        <w:spacing w:after="60"/>
        <w:ind w:left="360"/>
      </w:pPr>
      <w:r>
        <w:rPr>
          <w:rFonts w:ascii="Arial" w:hAnsi="Arial"/>
          <w:color w:val="1F1F1F"/>
          <w:sz w:val="21"/>
        </w:rPr>
        <w:t>The app is a live demonstration of our OOTB philosophy applied to our own operations.</w:t>
      </w:r>
    </w:p>
    <w:p>
      <w:pPr>
        <w:pStyle w:val="ListBullet"/>
        <w:spacing w:after="60"/>
        <w:ind w:left="360"/>
      </w:pPr>
      <w:r>
        <w:rPr>
          <w:rFonts w:ascii="Arial" w:hAnsi="Arial"/>
          <w:color w:val="1F1F1F"/>
          <w:sz w:val="21"/>
        </w:rPr>
        <w:t>Long-term: a ServiceNow Store listing creates a recurring revenue stream independent of services engagement volume.</w:t>
      </w:r>
    </w:p>
    <w:p>
      <w:pPr>
        <w:spacing w:before="200" w:after="60"/>
      </w:pPr>
      <w:r>
        <w:rPr>
          <w:rFonts w:ascii="Arial" w:hAnsi="Arial"/>
          <w:b/>
          <w:color w:val="2E75B6"/>
          <w:sz w:val="22"/>
        </w:rPr>
        <w:t>What This Enables for Delivery</w:t>
      </w:r>
    </w:p>
    <w:p>
      <w:pPr>
        <w:pStyle w:val="ListBullet"/>
        <w:spacing w:after="60"/>
        <w:ind w:left="360"/>
      </w:pPr>
      <w:r>
        <w:rPr>
          <w:rFonts w:ascii="Arial" w:hAnsi="Arial"/>
          <w:color w:val="1F1F1F"/>
          <w:sz w:val="21"/>
        </w:rPr>
        <w:t>Delivery managers spend less time updating status documents and more time managing delivery.</w:t>
      </w:r>
    </w:p>
    <w:p>
      <w:pPr>
        <w:pStyle w:val="ListBullet"/>
        <w:spacing w:after="60"/>
        <w:ind w:left="360"/>
      </w:pPr>
      <w:r>
        <w:rPr>
          <w:rFonts w:ascii="Arial" w:hAnsi="Arial"/>
          <w:color w:val="1F1F1F"/>
          <w:sz w:val="21"/>
        </w:rPr>
        <w:t>New consultants have guided workflow — 'here is what you need to do this sprint' — reducing ramp time.</w:t>
      </w:r>
    </w:p>
    <w:p>
      <w:pPr>
        <w:pStyle w:val="ListBullet"/>
        <w:spacing w:after="60"/>
        <w:ind w:left="360"/>
      </w:pPr>
      <w:r>
        <w:rPr>
          <w:rFonts w:ascii="Arial" w:hAnsi="Arial"/>
          <w:color w:val="1F1F1F"/>
          <w:sz w:val="21"/>
        </w:rPr>
        <w:t>Practice leadership gets a portfolio-level health view across all active engagements for the first time.</w:t>
      </w:r>
    </w:p>
    <w:p>
      <w:r>
        <w:br w:type="page"/>
      </w:r>
    </w:p>
    <w:p>
      <w:pPr>
        <w:spacing w:before="320" w:after="100"/>
        <w:pBdr>
          <w:bottom w:val="single" w:sz="6" w:space="1" w:color="1B3A6B"/>
        </w:pBdr>
      </w:pPr>
      <w:r>
        <w:rPr>
          <w:rFonts w:ascii="Arial" w:hAnsi="Arial"/>
          <w:b/>
          <w:color w:val="1B3A6B"/>
          <w:sz w:val="26"/>
        </w:rPr>
        <w:t>3. INVESTMENT REQUIRED — HOURS BY ROLE</w:t>
      </w:r>
    </w:p>
    <w:p>
      <w:pPr>
        <w:spacing w:before="0" w:after="160"/>
        <w:jc w:val="left"/>
      </w:pPr>
      <w:r>
        <w:rPr>
          <w:rFonts w:ascii="Arial" w:hAnsi="Arial"/>
          <w:b w:val="0"/>
          <w:i w:val="0"/>
          <w:color w:val="1F1F1F"/>
          <w:sz w:val="21"/>
        </w:rPr>
        <w:t>The following table represents the total internal overhead hours required to build Blueprint A to production-ready v1.0, broken down by role and phase. These hours are non-billable internal investment charged against practice overhead.</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70"/>
        <w:gridCol w:w="1170"/>
        <w:gridCol w:w="1170"/>
        <w:gridCol w:w="1170"/>
        <w:gridCol w:w="1170"/>
        <w:gridCol w:w="1170"/>
        <w:gridCol w:w="1170"/>
        <w:gridCol w:w="1170"/>
      </w:tblGrid>
      <w:tr>
        <w:tc>
          <w:tcPr>
            <w:tcW w:type="dxa" w:w="2880"/>
            <w:shd w:val="clear" w:color="auto" w:fill="1B3A6B"/>
          </w:tcPr>
          <w:p>
            <w:pPr>
              <w:spacing w:before="80" w:after="80"/>
              <w:ind w:left="72"/>
            </w:pPr>
            <w:r>
              <w:rPr>
                <w:rFonts w:ascii="Arial" w:hAnsi="Arial"/>
                <w:b/>
                <w:color w:val="FFFFFF"/>
                <w:sz w:val="20"/>
              </w:rPr>
              <w:t>Role</w:t>
            </w:r>
          </w:p>
        </w:tc>
        <w:tc>
          <w:tcPr>
            <w:tcW w:type="dxa" w:w="864"/>
            <w:shd w:val="clear" w:color="auto" w:fill="1B3A6B"/>
          </w:tcPr>
          <w:p>
            <w:pPr>
              <w:spacing w:before="80" w:after="80"/>
              <w:ind w:left="72"/>
            </w:pPr>
            <w:r>
              <w:rPr>
                <w:rFonts w:ascii="Arial" w:hAnsi="Arial"/>
                <w:b/>
                <w:color w:val="FFFFFF"/>
                <w:sz w:val="20"/>
              </w:rPr>
              <w:t>Ph 0</w:t>
              <w:br/>
              <w:t>Pre-Build</w:t>
            </w:r>
          </w:p>
        </w:tc>
        <w:tc>
          <w:tcPr>
            <w:tcW w:type="dxa" w:w="864"/>
            <w:shd w:val="clear" w:color="auto" w:fill="1B3A6B"/>
          </w:tcPr>
          <w:p>
            <w:pPr>
              <w:spacing w:before="80" w:after="80"/>
              <w:ind w:left="72"/>
            </w:pPr>
            <w:r>
              <w:rPr>
                <w:rFonts w:ascii="Arial" w:hAnsi="Arial"/>
                <w:b/>
                <w:color w:val="FFFFFF"/>
                <w:sz w:val="20"/>
              </w:rPr>
              <w:t>Ph 1</w:t>
              <w:br/>
              <w:t>Foundation</w:t>
            </w:r>
          </w:p>
        </w:tc>
        <w:tc>
          <w:tcPr>
            <w:tcW w:type="dxa" w:w="1008"/>
            <w:shd w:val="clear" w:color="auto" w:fill="1B3A6B"/>
          </w:tcPr>
          <w:p>
            <w:pPr>
              <w:spacing w:before="80" w:after="80"/>
              <w:ind w:left="72"/>
            </w:pPr>
            <w:r>
              <w:rPr>
                <w:rFonts w:ascii="Arial" w:hAnsi="Arial"/>
                <w:b/>
                <w:color w:val="FFFFFF"/>
                <w:sz w:val="20"/>
              </w:rPr>
              <w:t>Ph 2</w:t>
              <w:br/>
              <w:t>Portal &amp;</w:t>
              <w:br/>
              <w:t>Health</w:t>
            </w:r>
          </w:p>
        </w:tc>
        <w:tc>
          <w:tcPr>
            <w:tcW w:type="dxa" w:w="1008"/>
            <w:shd w:val="clear" w:color="auto" w:fill="1B3A6B"/>
          </w:tcPr>
          <w:p>
            <w:pPr>
              <w:spacing w:before="80" w:after="80"/>
              <w:ind w:left="72"/>
            </w:pPr>
            <w:r>
              <w:rPr>
                <w:rFonts w:ascii="Arial" w:hAnsi="Arial"/>
                <w:b/>
                <w:color w:val="FFFFFF"/>
                <w:sz w:val="20"/>
              </w:rPr>
              <w:t>Ph 3</w:t>
              <w:br/>
              <w:t>Integrations</w:t>
            </w:r>
          </w:p>
        </w:tc>
        <w:tc>
          <w:tcPr>
            <w:tcW w:type="dxa" w:w="1008"/>
            <w:shd w:val="clear" w:color="auto" w:fill="1B3A6B"/>
          </w:tcPr>
          <w:p>
            <w:pPr>
              <w:spacing w:before="80" w:after="80"/>
              <w:ind w:left="72"/>
            </w:pPr>
            <w:r>
              <w:rPr>
                <w:rFonts w:ascii="Arial" w:hAnsi="Arial"/>
                <w:b/>
                <w:color w:val="FFFFFF"/>
                <w:sz w:val="20"/>
              </w:rPr>
              <w:t>Ph 4</w:t>
              <w:br/>
              <w:t>Content</w:t>
              <w:br/>
              <w:t>&amp; ATF</w:t>
            </w:r>
          </w:p>
        </w:tc>
        <w:tc>
          <w:tcPr>
            <w:tcW w:type="dxa" w:w="1080"/>
            <w:shd w:val="clear" w:color="auto" w:fill="1B3A6B"/>
          </w:tcPr>
          <w:p>
            <w:pPr>
              <w:spacing w:before="80" w:after="80"/>
              <w:ind w:left="72"/>
            </w:pPr>
            <w:r>
              <w:rPr>
                <w:rFonts w:ascii="Arial" w:hAnsi="Arial"/>
                <w:b/>
                <w:color w:val="FFFFFF"/>
                <w:sz w:val="20"/>
              </w:rPr>
              <w:t>TOTAL</w:t>
              <w:br/>
              <w:t>Hours</w:t>
            </w:r>
          </w:p>
        </w:tc>
        <w:tc>
          <w:tcPr>
            <w:tcW w:type="dxa" w:w="936"/>
            <w:shd w:val="clear" w:color="auto" w:fill="1B3A6B"/>
          </w:tcPr>
          <w:p>
            <w:pPr>
              <w:spacing w:before="80" w:after="80"/>
              <w:ind w:left="72"/>
            </w:pPr>
            <w:r>
              <w:rPr>
                <w:rFonts w:ascii="Arial" w:hAnsi="Arial"/>
                <w:b/>
                <w:color w:val="FFFFFF"/>
                <w:sz w:val="20"/>
              </w:rPr>
              <w:t>FTE</w:t>
              <w:br/>
              <w:t>Weeks</w:t>
            </w:r>
          </w:p>
        </w:tc>
      </w:tr>
      <w:tr>
        <w:tc>
          <w:tcPr>
            <w:tcW w:type="dxa" w:w="2880"/>
            <w:shd w:val="clear" w:color="auto" w:fill="F2F2F2"/>
          </w:tcPr>
          <w:p>
            <w:pPr>
              <w:spacing w:before="60" w:after="60"/>
              <w:ind w:left="72"/>
            </w:pPr>
            <w:r>
              <w:rPr>
                <w:rFonts w:ascii="Arial" w:hAnsi="Arial"/>
                <w:color w:val="1F1F1F"/>
                <w:sz w:val="19"/>
              </w:rPr>
              <w:t>Lead Architect / App Developer</w:t>
            </w:r>
          </w:p>
        </w:tc>
        <w:tc>
          <w:tcPr>
            <w:tcW w:type="dxa" w:w="864"/>
            <w:shd w:val="clear" w:color="auto" w:fill="F2F2F2"/>
          </w:tcPr>
          <w:p>
            <w:pPr>
              <w:spacing w:before="60" w:after="60"/>
              <w:ind w:left="72"/>
            </w:pPr>
            <w:r>
              <w:rPr>
                <w:rFonts w:ascii="Arial" w:hAnsi="Arial"/>
                <w:color w:val="1F1F1F"/>
                <w:sz w:val="19"/>
              </w:rPr>
              <w:t>8</w:t>
            </w:r>
          </w:p>
        </w:tc>
        <w:tc>
          <w:tcPr>
            <w:tcW w:type="dxa" w:w="864"/>
            <w:shd w:val="clear" w:color="auto" w:fill="F2F2F2"/>
          </w:tcPr>
          <w:p>
            <w:pPr>
              <w:spacing w:before="60" w:after="60"/>
              <w:ind w:left="72"/>
            </w:pPr>
            <w:r>
              <w:rPr>
                <w:rFonts w:ascii="Arial" w:hAnsi="Arial"/>
                <w:color w:val="1F1F1F"/>
                <w:sz w:val="19"/>
              </w:rPr>
              <w:t>200</w:t>
            </w:r>
          </w:p>
        </w:tc>
        <w:tc>
          <w:tcPr>
            <w:tcW w:type="dxa" w:w="1008"/>
            <w:shd w:val="clear" w:color="auto" w:fill="F2F2F2"/>
          </w:tcPr>
          <w:p>
            <w:pPr>
              <w:spacing w:before="60" w:after="60"/>
              <w:ind w:left="72"/>
            </w:pPr>
            <w:r>
              <w:rPr>
                <w:rFonts w:ascii="Arial" w:hAnsi="Arial"/>
                <w:color w:val="1F1F1F"/>
                <w:sz w:val="19"/>
              </w:rPr>
              <w:t>200</w:t>
            </w:r>
          </w:p>
        </w:tc>
        <w:tc>
          <w:tcPr>
            <w:tcW w:type="dxa" w:w="1008"/>
            <w:shd w:val="clear" w:color="auto" w:fill="F2F2F2"/>
          </w:tcPr>
          <w:p>
            <w:pPr>
              <w:spacing w:before="60" w:after="60"/>
              <w:ind w:left="72"/>
            </w:pPr>
            <w:r>
              <w:rPr>
                <w:rFonts w:ascii="Arial" w:hAnsi="Arial"/>
                <w:color w:val="1F1F1F"/>
                <w:sz w:val="19"/>
              </w:rPr>
              <w:t>160</w:t>
            </w:r>
          </w:p>
        </w:tc>
        <w:tc>
          <w:tcPr>
            <w:tcW w:type="dxa" w:w="1008"/>
            <w:shd w:val="clear" w:color="auto" w:fill="F2F2F2"/>
          </w:tcPr>
          <w:p>
            <w:pPr>
              <w:spacing w:before="60" w:after="60"/>
              <w:ind w:left="72"/>
            </w:pPr>
            <w:r>
              <w:rPr>
                <w:rFonts w:ascii="Arial" w:hAnsi="Arial"/>
                <w:color w:val="1F1F1F"/>
                <w:sz w:val="19"/>
              </w:rPr>
              <w:t>80</w:t>
            </w:r>
          </w:p>
        </w:tc>
        <w:tc>
          <w:tcPr>
            <w:tcW w:type="dxa" w:w="1080"/>
            <w:shd w:val="clear" w:color="auto" w:fill="F2F2F2"/>
          </w:tcPr>
          <w:p>
            <w:pPr>
              <w:spacing w:before="60" w:after="60"/>
              <w:ind w:left="72"/>
            </w:pPr>
            <w:r>
              <w:rPr>
                <w:rFonts w:ascii="Arial" w:hAnsi="Arial"/>
                <w:color w:val="1F1F1F"/>
                <w:sz w:val="19"/>
              </w:rPr>
              <w:t>648</w:t>
            </w:r>
          </w:p>
        </w:tc>
        <w:tc>
          <w:tcPr>
            <w:tcW w:type="dxa" w:w="936"/>
            <w:shd w:val="clear" w:color="auto" w:fill="F2F2F2"/>
          </w:tcPr>
          <w:p>
            <w:pPr>
              <w:spacing w:before="60" w:after="60"/>
              <w:ind w:left="72"/>
            </w:pPr>
            <w:r>
              <w:rPr>
                <w:rFonts w:ascii="Arial" w:hAnsi="Arial"/>
                <w:color w:val="1F1F1F"/>
                <w:sz w:val="19"/>
              </w:rPr>
              <w:t>16.2</w:t>
            </w:r>
          </w:p>
        </w:tc>
      </w:tr>
      <w:tr>
        <w:tc>
          <w:tcPr>
            <w:tcW w:type="dxa" w:w="2880"/>
            <w:shd w:val="clear" w:color="auto" w:fill="FFFFFF"/>
          </w:tcPr>
          <w:p>
            <w:pPr>
              <w:spacing w:before="60" w:after="60"/>
              <w:ind w:left="72"/>
            </w:pPr>
            <w:r>
              <w:rPr>
                <w:rFonts w:ascii="Arial" w:hAnsi="Arial"/>
                <w:color w:val="1F1F1F"/>
                <w:sz w:val="19"/>
              </w:rPr>
              <w:t>Delivery Manager</w:t>
            </w:r>
          </w:p>
        </w:tc>
        <w:tc>
          <w:tcPr>
            <w:tcW w:type="dxa" w:w="864"/>
            <w:shd w:val="clear" w:color="auto" w:fill="FFFFFF"/>
          </w:tcPr>
          <w:p>
            <w:pPr>
              <w:spacing w:before="60" w:after="60"/>
              <w:ind w:left="72"/>
            </w:pPr>
            <w:r>
              <w:rPr>
                <w:rFonts w:ascii="Arial" w:hAnsi="Arial"/>
                <w:color w:val="1F1F1F"/>
                <w:sz w:val="19"/>
              </w:rPr>
              <w:t>8</w:t>
            </w:r>
          </w:p>
        </w:tc>
        <w:tc>
          <w:tcPr>
            <w:tcW w:type="dxa" w:w="864"/>
            <w:shd w:val="clear" w:color="auto" w:fill="FFFFFF"/>
          </w:tcPr>
          <w:p>
            <w:pPr>
              <w:spacing w:before="60" w:after="60"/>
              <w:ind w:left="72"/>
            </w:pPr>
            <w:r>
              <w:rPr>
                <w:rFonts w:ascii="Arial" w:hAnsi="Arial"/>
                <w:color w:val="1F1F1F"/>
                <w:sz w:val="19"/>
              </w:rPr>
              <w:t>40</w:t>
            </w:r>
          </w:p>
        </w:tc>
        <w:tc>
          <w:tcPr>
            <w:tcW w:type="dxa" w:w="1008"/>
            <w:shd w:val="clear" w:color="auto" w:fill="FFFFFF"/>
          </w:tcPr>
          <w:p>
            <w:pPr>
              <w:spacing w:before="60" w:after="60"/>
              <w:ind w:left="72"/>
            </w:pPr>
            <w:r>
              <w:rPr>
                <w:rFonts w:ascii="Arial" w:hAnsi="Arial"/>
                <w:color w:val="1F1F1F"/>
                <w:sz w:val="19"/>
              </w:rPr>
              <w:t>40</w:t>
            </w:r>
          </w:p>
        </w:tc>
        <w:tc>
          <w:tcPr>
            <w:tcW w:type="dxa" w:w="1008"/>
            <w:shd w:val="clear" w:color="auto" w:fill="FFFFFF"/>
          </w:tcPr>
          <w:p>
            <w:pPr>
              <w:spacing w:before="60" w:after="60"/>
              <w:ind w:left="72"/>
            </w:pPr>
            <w:r>
              <w:rPr>
                <w:rFonts w:ascii="Arial" w:hAnsi="Arial"/>
                <w:color w:val="1F1F1F"/>
                <w:sz w:val="19"/>
              </w:rPr>
              <w:t>32</w:t>
            </w:r>
          </w:p>
        </w:tc>
        <w:tc>
          <w:tcPr>
            <w:tcW w:type="dxa" w:w="1008"/>
            <w:shd w:val="clear" w:color="auto" w:fill="FFFFFF"/>
          </w:tcPr>
          <w:p>
            <w:pPr>
              <w:spacing w:before="60" w:after="60"/>
              <w:ind w:left="72"/>
            </w:pPr>
            <w:r>
              <w:rPr>
                <w:rFonts w:ascii="Arial" w:hAnsi="Arial"/>
                <w:color w:val="1F1F1F"/>
                <w:sz w:val="19"/>
              </w:rPr>
              <w:t>120</w:t>
            </w:r>
          </w:p>
        </w:tc>
        <w:tc>
          <w:tcPr>
            <w:tcW w:type="dxa" w:w="1080"/>
            <w:shd w:val="clear" w:color="auto" w:fill="FFFFFF"/>
          </w:tcPr>
          <w:p>
            <w:pPr>
              <w:spacing w:before="60" w:after="60"/>
              <w:ind w:left="72"/>
            </w:pPr>
            <w:r>
              <w:rPr>
                <w:rFonts w:ascii="Arial" w:hAnsi="Arial"/>
                <w:color w:val="1F1F1F"/>
                <w:sz w:val="19"/>
              </w:rPr>
              <w:t>240</w:t>
            </w:r>
          </w:p>
        </w:tc>
        <w:tc>
          <w:tcPr>
            <w:tcW w:type="dxa" w:w="936"/>
            <w:shd w:val="clear" w:color="auto" w:fill="FFFFFF"/>
          </w:tcPr>
          <w:p>
            <w:pPr>
              <w:spacing w:before="60" w:after="60"/>
              <w:ind w:left="72"/>
            </w:pPr>
            <w:r>
              <w:rPr>
                <w:rFonts w:ascii="Arial" w:hAnsi="Arial"/>
                <w:color w:val="1F1F1F"/>
                <w:sz w:val="19"/>
              </w:rPr>
              <w:t>6.0</w:t>
            </w:r>
          </w:p>
        </w:tc>
      </w:tr>
      <w:tr>
        <w:tc>
          <w:tcPr>
            <w:tcW w:type="dxa" w:w="2880"/>
            <w:shd w:val="clear" w:color="auto" w:fill="F2F2F2"/>
          </w:tcPr>
          <w:p>
            <w:pPr>
              <w:spacing w:before="60" w:after="60"/>
              <w:ind w:left="72"/>
            </w:pPr>
            <w:r>
              <w:rPr>
                <w:rFonts w:ascii="Arial" w:hAnsi="Arial"/>
                <w:color w:val="1F1F1F"/>
                <w:sz w:val="19"/>
              </w:rPr>
              <w:t>Content / Methodology Owner</w:t>
            </w:r>
          </w:p>
        </w:tc>
        <w:tc>
          <w:tcPr>
            <w:tcW w:type="dxa" w:w="864"/>
            <w:shd w:val="clear" w:color="auto" w:fill="F2F2F2"/>
          </w:tcPr>
          <w:p>
            <w:pPr>
              <w:spacing w:before="60" w:after="60"/>
              <w:ind w:left="72"/>
            </w:pPr>
            <w:r>
              <w:rPr>
                <w:rFonts w:ascii="Arial" w:hAnsi="Arial"/>
                <w:color w:val="1F1F1F"/>
                <w:sz w:val="19"/>
              </w:rPr>
              <w:t>4</w:t>
            </w:r>
          </w:p>
        </w:tc>
        <w:tc>
          <w:tcPr>
            <w:tcW w:type="dxa" w:w="864"/>
            <w:shd w:val="clear" w:color="auto" w:fill="F2F2F2"/>
          </w:tcPr>
          <w:p>
            <w:pPr>
              <w:spacing w:before="60" w:after="60"/>
              <w:ind w:left="72"/>
            </w:pPr>
            <w:r>
              <w:rPr>
                <w:rFonts w:ascii="Arial" w:hAnsi="Arial"/>
                <w:color w:val="1F1F1F"/>
                <w:sz w:val="19"/>
              </w:rPr>
              <w:t>20</w:t>
            </w:r>
          </w:p>
        </w:tc>
        <w:tc>
          <w:tcPr>
            <w:tcW w:type="dxa" w:w="1008"/>
            <w:shd w:val="clear" w:color="auto" w:fill="F2F2F2"/>
          </w:tcPr>
          <w:p>
            <w:pPr>
              <w:spacing w:before="60" w:after="60"/>
              <w:ind w:left="72"/>
            </w:pPr>
            <w:r>
              <w:rPr>
                <w:rFonts w:ascii="Arial" w:hAnsi="Arial"/>
                <w:color w:val="1F1F1F"/>
                <w:sz w:val="19"/>
              </w:rPr>
              <w:t>20</w:t>
            </w:r>
          </w:p>
        </w:tc>
        <w:tc>
          <w:tcPr>
            <w:tcW w:type="dxa" w:w="1008"/>
            <w:shd w:val="clear" w:color="auto" w:fill="F2F2F2"/>
          </w:tcPr>
          <w:p>
            <w:pPr>
              <w:spacing w:before="60" w:after="60"/>
              <w:ind w:left="72"/>
            </w:pPr>
            <w:r>
              <w:rPr>
                <w:rFonts w:ascii="Arial" w:hAnsi="Arial"/>
                <w:color w:val="1F1F1F"/>
                <w:sz w:val="19"/>
              </w:rPr>
              <w:t>64</w:t>
            </w:r>
          </w:p>
        </w:tc>
        <w:tc>
          <w:tcPr>
            <w:tcW w:type="dxa" w:w="1008"/>
            <w:shd w:val="clear" w:color="auto" w:fill="F2F2F2"/>
          </w:tcPr>
          <w:p>
            <w:pPr>
              <w:spacing w:before="60" w:after="60"/>
              <w:ind w:left="72"/>
            </w:pPr>
            <w:r>
              <w:rPr>
                <w:rFonts w:ascii="Arial" w:hAnsi="Arial"/>
                <w:color w:val="1F1F1F"/>
                <w:sz w:val="19"/>
              </w:rPr>
              <w:t>120</w:t>
            </w:r>
          </w:p>
        </w:tc>
        <w:tc>
          <w:tcPr>
            <w:tcW w:type="dxa" w:w="1080"/>
            <w:shd w:val="clear" w:color="auto" w:fill="F2F2F2"/>
          </w:tcPr>
          <w:p>
            <w:pPr>
              <w:spacing w:before="60" w:after="60"/>
              <w:ind w:left="72"/>
            </w:pPr>
            <w:r>
              <w:rPr>
                <w:rFonts w:ascii="Arial" w:hAnsi="Arial"/>
                <w:color w:val="1F1F1F"/>
                <w:sz w:val="19"/>
              </w:rPr>
              <w:t>228</w:t>
            </w:r>
          </w:p>
        </w:tc>
        <w:tc>
          <w:tcPr>
            <w:tcW w:type="dxa" w:w="936"/>
            <w:shd w:val="clear" w:color="auto" w:fill="F2F2F2"/>
          </w:tcPr>
          <w:p>
            <w:pPr>
              <w:spacing w:before="60" w:after="60"/>
              <w:ind w:left="72"/>
            </w:pPr>
            <w:r>
              <w:rPr>
                <w:rFonts w:ascii="Arial" w:hAnsi="Arial"/>
                <w:color w:val="1F1F1F"/>
                <w:sz w:val="19"/>
              </w:rPr>
              <w:t>5.7</w:t>
            </w:r>
          </w:p>
        </w:tc>
      </w:tr>
      <w:tr>
        <w:tc>
          <w:tcPr>
            <w:tcW w:type="dxa" w:w="2880"/>
            <w:shd w:val="clear" w:color="auto" w:fill="FFFFFF"/>
          </w:tcPr>
          <w:p>
            <w:pPr>
              <w:spacing w:before="60" w:after="60"/>
              <w:ind w:left="72"/>
            </w:pPr>
            <w:r>
              <w:rPr>
                <w:rFonts w:ascii="Arial" w:hAnsi="Arial"/>
                <w:color w:val="1F1F1F"/>
                <w:sz w:val="19"/>
              </w:rPr>
              <w:t>QA / ATF Engineer</w:t>
            </w:r>
          </w:p>
        </w:tc>
        <w:tc>
          <w:tcPr>
            <w:tcW w:type="dxa" w:w="864"/>
            <w:shd w:val="clear" w:color="auto" w:fill="FFFFFF"/>
          </w:tcPr>
          <w:p>
            <w:pPr>
              <w:spacing w:before="60" w:after="60"/>
              <w:ind w:left="72"/>
            </w:pPr>
            <w:r>
              <w:rPr>
                <w:rFonts w:ascii="Arial" w:hAnsi="Arial"/>
                <w:color w:val="1F1F1F"/>
                <w:sz w:val="19"/>
              </w:rPr>
              <w:t>0</w:t>
            </w:r>
          </w:p>
        </w:tc>
        <w:tc>
          <w:tcPr>
            <w:tcW w:type="dxa" w:w="864"/>
            <w:shd w:val="clear" w:color="auto" w:fill="FFFFFF"/>
          </w:tcPr>
          <w:p>
            <w:pPr>
              <w:spacing w:before="60" w:after="60"/>
              <w:ind w:left="72"/>
            </w:pPr>
            <w:r>
              <w:rPr>
                <w:rFonts w:ascii="Arial" w:hAnsi="Arial"/>
                <w:color w:val="1F1F1F"/>
                <w:sz w:val="19"/>
              </w:rPr>
              <w:t>0</w:t>
            </w:r>
          </w:p>
        </w:tc>
        <w:tc>
          <w:tcPr>
            <w:tcW w:type="dxa" w:w="1008"/>
            <w:shd w:val="clear" w:color="auto" w:fill="FFFFFF"/>
          </w:tcPr>
          <w:p>
            <w:pPr>
              <w:spacing w:before="60" w:after="60"/>
              <w:ind w:left="72"/>
            </w:pPr>
            <w:r>
              <w:rPr>
                <w:rFonts w:ascii="Arial" w:hAnsi="Arial"/>
                <w:color w:val="1F1F1F"/>
                <w:sz w:val="19"/>
              </w:rPr>
              <w:t>80</w:t>
            </w:r>
          </w:p>
        </w:tc>
        <w:tc>
          <w:tcPr>
            <w:tcW w:type="dxa" w:w="1008"/>
            <w:shd w:val="clear" w:color="auto" w:fill="FFFFFF"/>
          </w:tcPr>
          <w:p>
            <w:pPr>
              <w:spacing w:before="60" w:after="60"/>
              <w:ind w:left="72"/>
            </w:pPr>
            <w:r>
              <w:rPr>
                <w:rFonts w:ascii="Arial" w:hAnsi="Arial"/>
                <w:color w:val="1F1F1F"/>
                <w:sz w:val="19"/>
              </w:rPr>
              <w:t>64</w:t>
            </w:r>
          </w:p>
        </w:tc>
        <w:tc>
          <w:tcPr>
            <w:tcW w:type="dxa" w:w="1008"/>
            <w:shd w:val="clear" w:color="auto" w:fill="FFFFFF"/>
          </w:tcPr>
          <w:p>
            <w:pPr>
              <w:spacing w:before="60" w:after="60"/>
              <w:ind w:left="72"/>
            </w:pPr>
            <w:r>
              <w:rPr>
                <w:rFonts w:ascii="Arial" w:hAnsi="Arial"/>
                <w:color w:val="1F1F1F"/>
                <w:sz w:val="19"/>
              </w:rPr>
              <w:t>120</w:t>
            </w:r>
          </w:p>
        </w:tc>
        <w:tc>
          <w:tcPr>
            <w:tcW w:type="dxa" w:w="1080"/>
            <w:shd w:val="clear" w:color="auto" w:fill="FFFFFF"/>
          </w:tcPr>
          <w:p>
            <w:pPr>
              <w:spacing w:before="60" w:after="60"/>
              <w:ind w:left="72"/>
            </w:pPr>
            <w:r>
              <w:rPr>
                <w:rFonts w:ascii="Arial" w:hAnsi="Arial"/>
                <w:color w:val="1F1F1F"/>
                <w:sz w:val="19"/>
              </w:rPr>
              <w:t>264</w:t>
            </w:r>
          </w:p>
        </w:tc>
        <w:tc>
          <w:tcPr>
            <w:tcW w:type="dxa" w:w="936"/>
            <w:shd w:val="clear" w:color="auto" w:fill="FFFFFF"/>
          </w:tcPr>
          <w:p>
            <w:pPr>
              <w:spacing w:before="60" w:after="60"/>
              <w:ind w:left="72"/>
            </w:pPr>
            <w:r>
              <w:rPr>
                <w:rFonts w:ascii="Arial" w:hAnsi="Arial"/>
                <w:color w:val="1F1F1F"/>
                <w:sz w:val="19"/>
              </w:rPr>
              <w:t>6.6</w:t>
            </w:r>
          </w:p>
        </w:tc>
      </w:tr>
      <w:tr>
        <w:tc>
          <w:tcPr>
            <w:tcW w:type="dxa" w:w="2880"/>
            <w:shd w:val="clear" w:color="auto" w:fill="F2F2F2"/>
          </w:tcPr>
          <w:p>
            <w:pPr>
              <w:spacing w:before="60" w:after="60"/>
              <w:ind w:left="72"/>
            </w:pPr>
            <w:r>
              <w:rPr>
                <w:rFonts w:ascii="Arial" w:hAnsi="Arial"/>
                <w:color w:val="1F1F1F"/>
                <w:sz w:val="19"/>
              </w:rPr>
              <w:t>Practice Leader (reviews only)</w:t>
            </w:r>
          </w:p>
        </w:tc>
        <w:tc>
          <w:tcPr>
            <w:tcW w:type="dxa" w:w="864"/>
            <w:shd w:val="clear" w:color="auto" w:fill="F2F2F2"/>
          </w:tcPr>
          <w:p>
            <w:pPr>
              <w:spacing w:before="60" w:after="60"/>
              <w:ind w:left="72"/>
            </w:pPr>
            <w:r>
              <w:rPr>
                <w:rFonts w:ascii="Arial" w:hAnsi="Arial"/>
                <w:color w:val="1F1F1F"/>
                <w:sz w:val="19"/>
              </w:rPr>
              <w:t>4</w:t>
            </w:r>
          </w:p>
        </w:tc>
        <w:tc>
          <w:tcPr>
            <w:tcW w:type="dxa" w:w="864"/>
            <w:shd w:val="clear" w:color="auto" w:fill="F2F2F2"/>
          </w:tcPr>
          <w:p>
            <w:pPr>
              <w:spacing w:before="60" w:after="60"/>
              <w:ind w:left="72"/>
            </w:pPr>
            <w:r>
              <w:rPr>
                <w:rFonts w:ascii="Arial" w:hAnsi="Arial"/>
                <w:color w:val="1F1F1F"/>
                <w:sz w:val="19"/>
              </w:rPr>
              <w:t>4</w:t>
            </w:r>
          </w:p>
        </w:tc>
        <w:tc>
          <w:tcPr>
            <w:tcW w:type="dxa" w:w="1008"/>
            <w:shd w:val="clear" w:color="auto" w:fill="F2F2F2"/>
          </w:tcPr>
          <w:p>
            <w:pPr>
              <w:spacing w:before="60" w:after="60"/>
              <w:ind w:left="72"/>
            </w:pPr>
            <w:r>
              <w:rPr>
                <w:rFonts w:ascii="Arial" w:hAnsi="Arial"/>
                <w:color w:val="1F1F1F"/>
                <w:sz w:val="19"/>
              </w:rPr>
              <w:t>4</w:t>
            </w:r>
          </w:p>
        </w:tc>
        <w:tc>
          <w:tcPr>
            <w:tcW w:type="dxa" w:w="1008"/>
            <w:shd w:val="clear" w:color="auto" w:fill="F2F2F2"/>
          </w:tcPr>
          <w:p>
            <w:pPr>
              <w:spacing w:before="60" w:after="60"/>
              <w:ind w:left="72"/>
            </w:pPr>
            <w:r>
              <w:rPr>
                <w:rFonts w:ascii="Arial" w:hAnsi="Arial"/>
                <w:color w:val="1F1F1F"/>
                <w:sz w:val="19"/>
              </w:rPr>
              <w:t>4</w:t>
            </w:r>
          </w:p>
        </w:tc>
        <w:tc>
          <w:tcPr>
            <w:tcW w:type="dxa" w:w="1008"/>
            <w:shd w:val="clear" w:color="auto" w:fill="F2F2F2"/>
          </w:tcPr>
          <w:p>
            <w:pPr>
              <w:spacing w:before="60" w:after="60"/>
              <w:ind w:left="72"/>
            </w:pPr>
            <w:r>
              <w:rPr>
                <w:rFonts w:ascii="Arial" w:hAnsi="Arial"/>
                <w:color w:val="1F1F1F"/>
                <w:sz w:val="19"/>
              </w:rPr>
              <w:t>4</w:t>
            </w:r>
          </w:p>
        </w:tc>
        <w:tc>
          <w:tcPr>
            <w:tcW w:type="dxa" w:w="1080"/>
            <w:shd w:val="clear" w:color="auto" w:fill="F2F2F2"/>
          </w:tcPr>
          <w:p>
            <w:pPr>
              <w:spacing w:before="60" w:after="60"/>
              <w:ind w:left="72"/>
            </w:pPr>
            <w:r>
              <w:rPr>
                <w:rFonts w:ascii="Arial" w:hAnsi="Arial"/>
                <w:color w:val="1F1F1F"/>
                <w:sz w:val="19"/>
              </w:rPr>
              <w:t>20</w:t>
            </w:r>
          </w:p>
        </w:tc>
        <w:tc>
          <w:tcPr>
            <w:tcW w:type="dxa" w:w="936"/>
            <w:shd w:val="clear" w:color="auto" w:fill="F2F2F2"/>
          </w:tcPr>
          <w:p>
            <w:pPr>
              <w:spacing w:before="60" w:after="60"/>
              <w:ind w:left="72"/>
            </w:pPr>
            <w:r>
              <w:rPr>
                <w:rFonts w:ascii="Arial" w:hAnsi="Arial"/>
                <w:color w:val="1F1F1F"/>
                <w:sz w:val="19"/>
              </w:rPr>
              <w:t>0.5</w:t>
            </w:r>
          </w:p>
        </w:tc>
      </w:tr>
      <w:tr>
        <w:tc>
          <w:tcPr>
            <w:tcW w:type="dxa" w:w="2880"/>
            <w:shd w:val="clear" w:color="auto" w:fill="FFFFFF"/>
          </w:tcPr>
          <w:p>
            <w:pPr>
              <w:spacing w:before="60" w:after="60"/>
              <w:ind w:left="72"/>
            </w:pPr>
            <w:r>
              <w:rPr>
                <w:rFonts w:ascii="Arial" w:hAnsi="Arial"/>
                <w:color w:val="1F1F1F"/>
                <w:sz w:val="19"/>
              </w:rPr>
              <w:t>TOTAL — ALL ROLES</w:t>
            </w:r>
          </w:p>
        </w:tc>
        <w:tc>
          <w:tcPr>
            <w:tcW w:type="dxa" w:w="864"/>
            <w:shd w:val="clear" w:color="auto" w:fill="FFFFFF"/>
          </w:tcPr>
          <w:p>
            <w:pPr>
              <w:spacing w:before="60" w:after="60"/>
              <w:ind w:left="72"/>
            </w:pPr>
            <w:r>
              <w:rPr>
                <w:rFonts w:ascii="Arial" w:hAnsi="Arial"/>
                <w:color w:val="1F1F1F"/>
                <w:sz w:val="19"/>
              </w:rPr>
              <w:t>24</w:t>
            </w:r>
          </w:p>
        </w:tc>
        <w:tc>
          <w:tcPr>
            <w:tcW w:type="dxa" w:w="864"/>
            <w:shd w:val="clear" w:color="auto" w:fill="FFFFFF"/>
          </w:tcPr>
          <w:p>
            <w:pPr>
              <w:spacing w:before="60" w:after="60"/>
              <w:ind w:left="72"/>
            </w:pPr>
            <w:r>
              <w:rPr>
                <w:rFonts w:ascii="Arial" w:hAnsi="Arial"/>
                <w:color w:val="1F1F1F"/>
                <w:sz w:val="19"/>
              </w:rPr>
              <w:t>264</w:t>
            </w:r>
          </w:p>
        </w:tc>
        <w:tc>
          <w:tcPr>
            <w:tcW w:type="dxa" w:w="1008"/>
            <w:shd w:val="clear" w:color="auto" w:fill="FFFFFF"/>
          </w:tcPr>
          <w:p>
            <w:pPr>
              <w:spacing w:before="60" w:after="60"/>
              <w:ind w:left="72"/>
            </w:pPr>
            <w:r>
              <w:rPr>
                <w:rFonts w:ascii="Arial" w:hAnsi="Arial"/>
                <w:color w:val="1F1F1F"/>
                <w:sz w:val="19"/>
              </w:rPr>
              <w:t>344</w:t>
            </w:r>
          </w:p>
        </w:tc>
        <w:tc>
          <w:tcPr>
            <w:tcW w:type="dxa" w:w="1008"/>
            <w:shd w:val="clear" w:color="auto" w:fill="FFFFFF"/>
          </w:tcPr>
          <w:p>
            <w:pPr>
              <w:spacing w:before="60" w:after="60"/>
              <w:ind w:left="72"/>
            </w:pPr>
            <w:r>
              <w:rPr>
                <w:rFonts w:ascii="Arial" w:hAnsi="Arial"/>
                <w:color w:val="1F1F1F"/>
                <w:sz w:val="19"/>
              </w:rPr>
              <w:t>324</w:t>
            </w:r>
          </w:p>
        </w:tc>
        <w:tc>
          <w:tcPr>
            <w:tcW w:type="dxa" w:w="1008"/>
            <w:shd w:val="clear" w:color="auto" w:fill="FFFFFF"/>
          </w:tcPr>
          <w:p>
            <w:pPr>
              <w:spacing w:before="60" w:after="60"/>
              <w:ind w:left="72"/>
            </w:pPr>
            <w:r>
              <w:rPr>
                <w:rFonts w:ascii="Arial" w:hAnsi="Arial"/>
                <w:color w:val="1F1F1F"/>
                <w:sz w:val="19"/>
              </w:rPr>
              <w:t>444</w:t>
            </w:r>
          </w:p>
        </w:tc>
        <w:tc>
          <w:tcPr>
            <w:tcW w:type="dxa" w:w="1080"/>
            <w:shd w:val="clear" w:color="auto" w:fill="FFFFFF"/>
          </w:tcPr>
          <w:p>
            <w:pPr>
              <w:spacing w:before="60" w:after="60"/>
              <w:ind w:left="72"/>
            </w:pPr>
            <w:r>
              <w:rPr>
                <w:rFonts w:ascii="Arial" w:hAnsi="Arial"/>
                <w:color w:val="1F1F1F"/>
                <w:sz w:val="19"/>
              </w:rPr>
              <w:t>1,400</w:t>
            </w:r>
          </w:p>
        </w:tc>
        <w:tc>
          <w:tcPr>
            <w:tcW w:type="dxa" w:w="936"/>
            <w:shd w:val="clear" w:color="auto" w:fill="FFFFFF"/>
          </w:tcPr>
          <w:p>
            <w:pPr>
              <w:spacing w:before="60" w:after="60"/>
              <w:ind w:left="72"/>
            </w:pPr>
            <w:r>
              <w:rPr>
                <w:rFonts w:ascii="Arial" w:hAnsi="Arial"/>
                <w:color w:val="1F1F1F"/>
                <w:sz w:val="19"/>
              </w:rPr>
              <w:t>35.0</w:t>
            </w:r>
          </w:p>
        </w:tc>
      </w:tr>
    </w:tbl>
    <w:p>
      <w:pPr>
        <w:spacing w:after="10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EBF3FB"/>
          </w:tcPr>
          <w:p>
            <w:pPr>
              <w:spacing w:before="100" w:after="100"/>
              <w:ind w:left="144"/>
            </w:pPr>
            <w:r>
              <w:rPr>
                <w:rFonts w:ascii="Arial" w:hAnsi="Arial"/>
                <w:b/>
                <w:color w:val="1B3A6B"/>
                <w:sz w:val="20"/>
              </w:rPr>
              <w:t xml:space="preserve">FTE equivalent:  </w:t>
            </w:r>
            <w:r>
              <w:rPr>
                <w:rFonts w:ascii="Arial" w:hAnsi="Arial"/>
                <w:color w:val="1F1F1F"/>
                <w:sz w:val="20"/>
              </w:rPr>
              <w:t>1,400 hours ÷ 40 hrs/week = 35 FTE weeks total across all roles. The Lead Architect / App Developer is the critical path resource at ~16 FTE weeks and should be dedicated (not shared across engagements) for the duration.</w:t>
            </w:r>
          </w:p>
        </w:tc>
      </w:tr>
    </w:tbl>
    <w:p>
      <w:pPr>
        <w:spacing w:after="80"/>
      </w:pPr>
    </w:p>
    <w:p>
      <w:pPr>
        <w:spacing w:before="200" w:after="60"/>
      </w:pPr>
      <w:r>
        <w:rPr>
          <w:rFonts w:ascii="Arial" w:hAnsi="Arial"/>
          <w:b/>
          <w:color w:val="2E75B6"/>
          <w:sz w:val="22"/>
        </w:rPr>
        <w:t>Role Profiles Required</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592"/>
            <w:shd w:val="clear" w:color="auto" w:fill="1B3A6B"/>
          </w:tcPr>
          <w:p>
            <w:pPr>
              <w:spacing w:before="80" w:after="80"/>
              <w:ind w:left="72"/>
            </w:pPr>
            <w:r>
              <w:rPr>
                <w:rFonts w:ascii="Arial" w:hAnsi="Arial"/>
                <w:b/>
                <w:color w:val="FFFFFF"/>
                <w:sz w:val="20"/>
              </w:rPr>
              <w:t>Role</w:t>
            </w:r>
          </w:p>
        </w:tc>
        <w:tc>
          <w:tcPr>
            <w:tcW w:type="dxa" w:w="3888"/>
            <w:shd w:val="clear" w:color="auto" w:fill="1B3A6B"/>
          </w:tcPr>
          <w:p>
            <w:pPr>
              <w:spacing w:before="80" w:after="80"/>
              <w:ind w:left="72"/>
            </w:pPr>
            <w:r>
              <w:rPr>
                <w:rFonts w:ascii="Arial" w:hAnsi="Arial"/>
                <w:b/>
                <w:color w:val="FFFFFF"/>
                <w:sz w:val="20"/>
              </w:rPr>
              <w:t>Profile Needed</w:t>
            </w:r>
          </w:p>
        </w:tc>
        <w:tc>
          <w:tcPr>
            <w:tcW w:type="dxa" w:w="2880"/>
            <w:shd w:val="clear" w:color="auto" w:fill="1B3A6B"/>
          </w:tcPr>
          <w:p>
            <w:pPr>
              <w:spacing w:before="80" w:after="80"/>
              <w:ind w:left="72"/>
            </w:pPr>
            <w:r>
              <w:rPr>
                <w:rFonts w:ascii="Arial" w:hAnsi="Arial"/>
                <w:b/>
                <w:color w:val="FFFFFF"/>
                <w:sz w:val="20"/>
              </w:rPr>
              <w:t>Can Be</w:t>
            </w:r>
          </w:p>
        </w:tc>
      </w:tr>
      <w:tr>
        <w:tc>
          <w:tcPr>
            <w:tcW w:type="dxa" w:w="2592"/>
            <w:shd w:val="clear" w:color="auto" w:fill="F2F2F2"/>
          </w:tcPr>
          <w:p>
            <w:pPr>
              <w:spacing w:before="60" w:after="60"/>
              <w:ind w:left="72"/>
            </w:pPr>
            <w:r>
              <w:rPr>
                <w:rFonts w:ascii="Arial" w:hAnsi="Arial"/>
                <w:color w:val="1F1F1F"/>
                <w:sz w:val="19"/>
              </w:rPr>
              <w:t>Lead Architect / App Developer</w:t>
            </w:r>
          </w:p>
        </w:tc>
        <w:tc>
          <w:tcPr>
            <w:tcW w:type="dxa" w:w="3888"/>
            <w:shd w:val="clear" w:color="auto" w:fill="F2F2F2"/>
          </w:tcPr>
          <w:p>
            <w:pPr>
              <w:spacing w:before="60" w:after="60"/>
              <w:ind w:left="72"/>
            </w:pPr>
            <w:r>
              <w:rPr>
                <w:rFonts w:ascii="Arial" w:hAnsi="Arial"/>
                <w:color w:val="1F1F1F"/>
                <w:sz w:val="19"/>
              </w:rPr>
              <w:t>ServiceNow Studio app development, scoped apps, custom tables, Service Portal, ATF</w:t>
            </w:r>
          </w:p>
        </w:tc>
        <w:tc>
          <w:tcPr>
            <w:tcW w:type="dxa" w:w="2880"/>
            <w:shd w:val="clear" w:color="auto" w:fill="F2F2F2"/>
          </w:tcPr>
          <w:p>
            <w:pPr>
              <w:spacing w:before="60" w:after="60"/>
              <w:ind w:left="72"/>
            </w:pPr>
            <w:r>
              <w:rPr>
                <w:rFonts w:ascii="Arial" w:hAnsi="Arial"/>
                <w:color w:val="1F1F1F"/>
                <w:sz w:val="19"/>
              </w:rPr>
              <w:t>Senior SNow architect; may need to backfill delivery on one engagement</w:t>
            </w:r>
          </w:p>
        </w:tc>
      </w:tr>
      <w:tr>
        <w:tc>
          <w:tcPr>
            <w:tcW w:type="dxa" w:w="2592"/>
            <w:shd w:val="clear" w:color="auto" w:fill="FFFFFF"/>
          </w:tcPr>
          <w:p>
            <w:pPr>
              <w:spacing w:before="60" w:after="60"/>
              <w:ind w:left="72"/>
            </w:pPr>
            <w:r>
              <w:rPr>
                <w:rFonts w:ascii="Arial" w:hAnsi="Arial"/>
                <w:color w:val="1F1F1F"/>
                <w:sz w:val="19"/>
              </w:rPr>
              <w:t>Delivery Manager</w:t>
            </w:r>
          </w:p>
        </w:tc>
        <w:tc>
          <w:tcPr>
            <w:tcW w:type="dxa" w:w="3888"/>
            <w:shd w:val="clear" w:color="auto" w:fill="FFFFFF"/>
          </w:tcPr>
          <w:p>
            <w:pPr>
              <w:spacing w:before="60" w:after="60"/>
              <w:ind w:left="72"/>
            </w:pPr>
            <w:r>
              <w:rPr>
                <w:rFonts w:ascii="Arial" w:hAnsi="Arial"/>
                <w:color w:val="1F1F1F"/>
                <w:sz w:val="19"/>
              </w:rPr>
              <w:t>ECS methodology knowledge; portal UX input; content review</w:t>
            </w:r>
          </w:p>
        </w:tc>
        <w:tc>
          <w:tcPr>
            <w:tcW w:type="dxa" w:w="2880"/>
            <w:shd w:val="clear" w:color="auto" w:fill="FFFFFF"/>
          </w:tcPr>
          <w:p>
            <w:pPr>
              <w:spacing w:before="60" w:after="60"/>
              <w:ind w:left="72"/>
            </w:pPr>
            <w:r>
              <w:rPr>
                <w:rFonts w:ascii="Arial" w:hAnsi="Arial"/>
                <w:color w:val="1F1F1F"/>
                <w:sz w:val="19"/>
              </w:rPr>
              <w:t>Existing ECS delivery manager with bandwidth</w:t>
            </w:r>
          </w:p>
        </w:tc>
      </w:tr>
      <w:tr>
        <w:tc>
          <w:tcPr>
            <w:tcW w:type="dxa" w:w="2592"/>
            <w:shd w:val="clear" w:color="auto" w:fill="F2F2F2"/>
          </w:tcPr>
          <w:p>
            <w:pPr>
              <w:spacing w:before="60" w:after="60"/>
              <w:ind w:left="72"/>
            </w:pPr>
            <w:r>
              <w:rPr>
                <w:rFonts w:ascii="Arial" w:hAnsi="Arial"/>
                <w:color w:val="1F1F1F"/>
                <w:sz w:val="19"/>
              </w:rPr>
              <w:t>Content / Methodology Owner</w:t>
            </w:r>
          </w:p>
        </w:tc>
        <w:tc>
          <w:tcPr>
            <w:tcW w:type="dxa" w:w="3888"/>
            <w:shd w:val="clear" w:color="auto" w:fill="F2F2F2"/>
          </w:tcPr>
          <w:p>
            <w:pPr>
              <w:spacing w:before="60" w:after="60"/>
              <w:ind w:left="72"/>
            </w:pPr>
            <w:r>
              <w:rPr>
                <w:rFonts w:ascii="Arial" w:hAnsi="Arial"/>
                <w:color w:val="1F1F1F"/>
                <w:sz w:val="19"/>
              </w:rPr>
              <w:t>Deep knowledge of ECS collateral; tagging and loading existing docs</w:t>
            </w:r>
          </w:p>
        </w:tc>
        <w:tc>
          <w:tcPr>
            <w:tcW w:type="dxa" w:w="2880"/>
            <w:shd w:val="clear" w:color="auto" w:fill="F2F2F2"/>
          </w:tcPr>
          <w:p>
            <w:pPr>
              <w:spacing w:before="60" w:after="60"/>
              <w:ind w:left="72"/>
            </w:pPr>
            <w:r>
              <w:rPr>
                <w:rFonts w:ascii="Arial" w:hAnsi="Arial"/>
                <w:color w:val="1F1F1F"/>
                <w:sz w:val="19"/>
              </w:rPr>
              <w:t>Senior consultant or existing DM; can be part-time Phase 1–2</w:t>
            </w:r>
          </w:p>
        </w:tc>
      </w:tr>
      <w:tr>
        <w:tc>
          <w:tcPr>
            <w:tcW w:type="dxa" w:w="2592"/>
            <w:shd w:val="clear" w:color="auto" w:fill="FFFFFF"/>
          </w:tcPr>
          <w:p>
            <w:pPr>
              <w:spacing w:before="60" w:after="60"/>
              <w:ind w:left="72"/>
            </w:pPr>
            <w:r>
              <w:rPr>
                <w:rFonts w:ascii="Arial" w:hAnsi="Arial"/>
                <w:color w:val="1F1F1F"/>
                <w:sz w:val="19"/>
              </w:rPr>
              <w:t>QA / ATF Engineer</w:t>
            </w:r>
          </w:p>
        </w:tc>
        <w:tc>
          <w:tcPr>
            <w:tcW w:type="dxa" w:w="3888"/>
            <w:shd w:val="clear" w:color="auto" w:fill="FFFFFF"/>
          </w:tcPr>
          <w:p>
            <w:pPr>
              <w:spacing w:before="60" w:after="60"/>
              <w:ind w:left="72"/>
            </w:pPr>
            <w:r>
              <w:rPr>
                <w:rFonts w:ascii="Arial" w:hAnsi="Arial"/>
                <w:color w:val="1F1F1F"/>
                <w:sz w:val="19"/>
              </w:rPr>
              <w:t>ServiceNow ATF framework; test case design</w:t>
            </w:r>
          </w:p>
        </w:tc>
        <w:tc>
          <w:tcPr>
            <w:tcW w:type="dxa" w:w="2880"/>
            <w:shd w:val="clear" w:color="auto" w:fill="FFFFFF"/>
          </w:tcPr>
          <w:p>
            <w:pPr>
              <w:spacing w:before="60" w:after="60"/>
              <w:ind w:left="72"/>
            </w:pPr>
            <w:r>
              <w:rPr>
                <w:rFonts w:ascii="Arial" w:hAnsi="Arial"/>
                <w:color w:val="1F1F1F"/>
                <w:sz w:val="19"/>
              </w:rPr>
              <w:t>Senior developer performing peer QA role; does not need to be dedicated</w:t>
            </w:r>
          </w:p>
        </w:tc>
      </w:tr>
      <w:tr>
        <w:tc>
          <w:tcPr>
            <w:tcW w:type="dxa" w:w="2592"/>
            <w:shd w:val="clear" w:color="auto" w:fill="F2F2F2"/>
          </w:tcPr>
          <w:p>
            <w:pPr>
              <w:spacing w:before="60" w:after="60"/>
              <w:ind w:left="72"/>
            </w:pPr>
            <w:r>
              <w:rPr>
                <w:rFonts w:ascii="Arial" w:hAnsi="Arial"/>
                <w:color w:val="1F1F1F"/>
                <w:sz w:val="19"/>
              </w:rPr>
              <w:t>Practice Leader</w:t>
            </w:r>
          </w:p>
        </w:tc>
        <w:tc>
          <w:tcPr>
            <w:tcW w:type="dxa" w:w="3888"/>
            <w:shd w:val="clear" w:color="auto" w:fill="F2F2F2"/>
          </w:tcPr>
          <w:p>
            <w:pPr>
              <w:spacing w:before="60" w:after="60"/>
              <w:ind w:left="72"/>
            </w:pPr>
            <w:r>
              <w:rPr>
                <w:rFonts w:ascii="Arial" w:hAnsi="Arial"/>
                <w:color w:val="1F1F1F"/>
                <w:sz w:val="19"/>
              </w:rPr>
              <w:t>Milestone review and strategic sign-off</w:t>
            </w:r>
          </w:p>
        </w:tc>
        <w:tc>
          <w:tcPr>
            <w:tcW w:type="dxa" w:w="2880"/>
            <w:shd w:val="clear" w:color="auto" w:fill="F2F2F2"/>
          </w:tcPr>
          <w:p>
            <w:pPr>
              <w:spacing w:before="60" w:after="60"/>
              <w:ind w:left="72"/>
            </w:pPr>
            <w:r>
              <w:rPr>
                <w:rFonts w:ascii="Arial" w:hAnsi="Arial"/>
                <w:color w:val="1F1F1F"/>
                <w:sz w:val="19"/>
              </w:rPr>
              <w:t>Senior Director — 4 hours per phase review only</w:t>
            </w:r>
          </w:p>
        </w:tc>
      </w:tr>
    </w:tbl>
    <w:p>
      <w:pPr>
        <w:spacing w:after="100"/>
      </w:pPr>
    </w:p>
    <w:p>
      <w:r>
        <w:br w:type="page"/>
      </w:r>
    </w:p>
    <w:p>
      <w:pPr>
        <w:spacing w:before="320" w:after="100"/>
        <w:pBdr>
          <w:bottom w:val="single" w:sz="6" w:space="1" w:color="1B3A6B"/>
        </w:pBdr>
      </w:pPr>
      <w:r>
        <w:rPr>
          <w:rFonts w:ascii="Arial" w:hAnsi="Arial"/>
          <w:b/>
          <w:color w:val="1B3A6B"/>
          <w:sz w:val="26"/>
        </w:rPr>
        <w:t>4. TIMELINE SUMMARY</w:t>
      </w:r>
    </w:p>
    <w:p>
      <w:pPr>
        <w:spacing w:before="0" w:after="160"/>
        <w:jc w:val="left"/>
      </w:pPr>
      <w:r>
        <w:rPr>
          <w:rFonts w:ascii="Arial" w:hAnsi="Arial"/>
          <w:b w:val="0"/>
          <w:i w:val="0"/>
          <w:color w:val="1F1F1F"/>
          <w:sz w:val="21"/>
        </w:rPr>
        <w:t>Blueprint A runs 16–18 weeks from decision to v1.0 release. The four build phases can run with some parallelism where resources allow, but the Lead Architect is the critical path throughout.</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736"/>
            <w:shd w:val="clear" w:color="auto" w:fill="1B3A6B"/>
          </w:tcPr>
          <w:p>
            <w:pPr>
              <w:spacing w:before="80" w:after="80"/>
              <w:ind w:left="72"/>
            </w:pPr>
            <w:r>
              <w:rPr>
                <w:rFonts w:ascii="Arial" w:hAnsi="Arial"/>
                <w:b/>
                <w:color w:val="FFFFFF"/>
                <w:sz w:val="20"/>
              </w:rPr>
              <w:t>Phase</w:t>
            </w:r>
          </w:p>
        </w:tc>
        <w:tc>
          <w:tcPr>
            <w:tcW w:type="dxa" w:w="1728"/>
            <w:shd w:val="clear" w:color="auto" w:fill="1B3A6B"/>
          </w:tcPr>
          <w:p>
            <w:pPr>
              <w:spacing w:before="80" w:after="80"/>
              <w:ind w:left="72"/>
            </w:pPr>
            <w:r>
              <w:rPr>
                <w:rFonts w:ascii="Arial" w:hAnsi="Arial"/>
                <w:b/>
                <w:color w:val="FFFFFF"/>
                <w:sz w:val="20"/>
              </w:rPr>
              <w:t>Calendar Weeks</w:t>
            </w:r>
          </w:p>
        </w:tc>
        <w:tc>
          <w:tcPr>
            <w:tcW w:type="dxa" w:w="1872"/>
            <w:shd w:val="clear" w:color="auto" w:fill="1B3A6B"/>
          </w:tcPr>
          <w:p>
            <w:pPr>
              <w:spacing w:before="80" w:after="80"/>
              <w:ind w:left="72"/>
            </w:pPr>
            <w:r>
              <w:rPr>
                <w:rFonts w:ascii="Arial" w:hAnsi="Arial"/>
                <w:b/>
                <w:color w:val="FFFFFF"/>
                <w:sz w:val="20"/>
              </w:rPr>
              <w:t>Target Dates</w:t>
            </w:r>
          </w:p>
        </w:tc>
        <w:tc>
          <w:tcPr>
            <w:tcW w:type="dxa" w:w="3024"/>
            <w:shd w:val="clear" w:color="auto" w:fill="1B3A6B"/>
          </w:tcPr>
          <w:p>
            <w:pPr>
              <w:spacing w:before="80" w:after="80"/>
              <w:ind w:left="72"/>
            </w:pPr>
            <w:r>
              <w:rPr>
                <w:rFonts w:ascii="Arial" w:hAnsi="Arial"/>
                <w:b/>
                <w:color w:val="FFFFFF"/>
                <w:sz w:val="20"/>
              </w:rPr>
              <w:t>Key Milestone</w:t>
            </w:r>
          </w:p>
        </w:tc>
      </w:tr>
      <w:tr>
        <w:tc>
          <w:tcPr>
            <w:tcW w:type="dxa" w:w="2736"/>
            <w:shd w:val="clear" w:color="auto" w:fill="F2F2F2"/>
          </w:tcPr>
          <w:p>
            <w:pPr>
              <w:spacing w:before="60" w:after="60"/>
              <w:ind w:left="72"/>
            </w:pPr>
            <w:r>
              <w:rPr>
                <w:rFonts w:ascii="Arial" w:hAnsi="Arial"/>
                <w:color w:val="1F1F1F"/>
                <w:sz w:val="19"/>
              </w:rPr>
              <w:t>Phase 0 — Pre-Build</w:t>
            </w:r>
          </w:p>
        </w:tc>
        <w:tc>
          <w:tcPr>
            <w:tcW w:type="dxa" w:w="1728"/>
            <w:shd w:val="clear" w:color="auto" w:fill="F2F2F2"/>
          </w:tcPr>
          <w:p>
            <w:pPr>
              <w:spacing w:before="60" w:after="60"/>
              <w:ind w:left="72"/>
            </w:pPr>
            <w:r>
              <w:rPr>
                <w:rFonts w:ascii="Arial" w:hAnsi="Arial"/>
                <w:color w:val="1F1F1F"/>
                <w:sz w:val="19"/>
              </w:rPr>
              <w:t>Weeks −2 to 0</w:t>
            </w:r>
          </w:p>
        </w:tc>
        <w:tc>
          <w:tcPr>
            <w:tcW w:type="dxa" w:w="1872"/>
            <w:shd w:val="clear" w:color="auto" w:fill="F2F2F2"/>
          </w:tcPr>
          <w:p>
            <w:pPr>
              <w:spacing w:before="60" w:after="60"/>
              <w:ind w:left="72"/>
            </w:pPr>
            <w:r>
              <w:rPr>
                <w:rFonts w:ascii="Arial" w:hAnsi="Arial"/>
                <w:color w:val="1F1F1F"/>
                <w:sz w:val="19"/>
              </w:rPr>
              <w:t>May – Jun 2026</w:t>
            </w:r>
          </w:p>
        </w:tc>
        <w:tc>
          <w:tcPr>
            <w:tcW w:type="dxa" w:w="3024"/>
            <w:shd w:val="clear" w:color="auto" w:fill="F2F2F2"/>
          </w:tcPr>
          <w:p>
            <w:pPr>
              <w:spacing w:before="60" w:after="60"/>
              <w:ind w:left="72"/>
            </w:pPr>
            <w:r>
              <w:rPr>
                <w:rFonts w:ascii="Arial" w:hAnsi="Arial"/>
                <w:color w:val="1F1F1F"/>
                <w:sz w:val="19"/>
              </w:rPr>
              <w:t>Architecture decision; PDI live; team assigned</w:t>
            </w:r>
          </w:p>
        </w:tc>
      </w:tr>
      <w:tr>
        <w:tc>
          <w:tcPr>
            <w:tcW w:type="dxa" w:w="2736"/>
            <w:shd w:val="clear" w:color="auto" w:fill="FFFFFF"/>
          </w:tcPr>
          <w:p>
            <w:pPr>
              <w:spacing w:before="60" w:after="60"/>
              <w:ind w:left="72"/>
            </w:pPr>
            <w:r>
              <w:rPr>
                <w:rFonts w:ascii="Arial" w:hAnsi="Arial"/>
                <w:color w:val="1F1F1F"/>
                <w:sz w:val="19"/>
              </w:rPr>
              <w:t>Phase 1 — Application Foundation</w:t>
            </w:r>
          </w:p>
        </w:tc>
        <w:tc>
          <w:tcPr>
            <w:tcW w:type="dxa" w:w="1728"/>
            <w:shd w:val="clear" w:color="auto" w:fill="FFFFFF"/>
          </w:tcPr>
          <w:p>
            <w:pPr>
              <w:spacing w:before="60" w:after="60"/>
              <w:ind w:left="72"/>
            </w:pPr>
            <w:r>
              <w:rPr>
                <w:rFonts w:ascii="Arial" w:hAnsi="Arial"/>
                <w:color w:val="1F1F1F"/>
                <w:sz w:val="19"/>
              </w:rPr>
              <w:t>Weeks 1–5</w:t>
            </w:r>
          </w:p>
        </w:tc>
        <w:tc>
          <w:tcPr>
            <w:tcW w:type="dxa" w:w="1872"/>
            <w:shd w:val="clear" w:color="auto" w:fill="FFFFFF"/>
          </w:tcPr>
          <w:p>
            <w:pPr>
              <w:spacing w:before="60" w:after="60"/>
              <w:ind w:left="72"/>
            </w:pPr>
            <w:r>
              <w:rPr>
                <w:rFonts w:ascii="Arial" w:hAnsi="Arial"/>
                <w:color w:val="1F1F1F"/>
                <w:sz w:val="19"/>
              </w:rPr>
              <w:t>Jun 2026</w:t>
            </w:r>
          </w:p>
        </w:tc>
        <w:tc>
          <w:tcPr>
            <w:tcW w:type="dxa" w:w="3024"/>
            <w:shd w:val="clear" w:color="auto" w:fill="FFFFFF"/>
          </w:tcPr>
          <w:p>
            <w:pPr>
              <w:spacing w:before="60" w:after="60"/>
              <w:ind w:left="72"/>
            </w:pPr>
            <w:r>
              <w:rPr>
                <w:rFonts w:ascii="Arial" w:hAnsi="Arial"/>
                <w:color w:val="1F1F1F"/>
                <w:sz w:val="19"/>
              </w:rPr>
              <w:t>v0.5: scoped app, custom tables, roles, portable update set</w:t>
            </w:r>
          </w:p>
        </w:tc>
      </w:tr>
      <w:tr>
        <w:tc>
          <w:tcPr>
            <w:tcW w:type="dxa" w:w="2736"/>
            <w:shd w:val="clear" w:color="auto" w:fill="F2F2F2"/>
          </w:tcPr>
          <w:p>
            <w:pPr>
              <w:spacing w:before="60" w:after="60"/>
              <w:ind w:left="72"/>
            </w:pPr>
            <w:r>
              <w:rPr>
                <w:rFonts w:ascii="Arial" w:hAnsi="Arial"/>
                <w:color w:val="1F1F1F"/>
                <w:sz w:val="19"/>
              </w:rPr>
              <w:t>Phase 2 — Portal &amp; Health Engine</w:t>
            </w:r>
          </w:p>
        </w:tc>
        <w:tc>
          <w:tcPr>
            <w:tcW w:type="dxa" w:w="1728"/>
            <w:shd w:val="clear" w:color="auto" w:fill="F2F2F2"/>
          </w:tcPr>
          <w:p>
            <w:pPr>
              <w:spacing w:before="60" w:after="60"/>
              <w:ind w:left="72"/>
            </w:pPr>
            <w:r>
              <w:rPr>
                <w:rFonts w:ascii="Arial" w:hAnsi="Arial"/>
                <w:color w:val="1F1F1F"/>
                <w:sz w:val="19"/>
              </w:rPr>
              <w:t>Weeks 6–10</w:t>
            </w:r>
          </w:p>
        </w:tc>
        <w:tc>
          <w:tcPr>
            <w:tcW w:type="dxa" w:w="1872"/>
            <w:shd w:val="clear" w:color="auto" w:fill="F2F2F2"/>
          </w:tcPr>
          <w:p>
            <w:pPr>
              <w:spacing w:before="60" w:after="60"/>
              <w:ind w:left="72"/>
            </w:pPr>
            <w:r>
              <w:rPr>
                <w:rFonts w:ascii="Arial" w:hAnsi="Arial"/>
                <w:color w:val="1F1F1F"/>
                <w:sz w:val="19"/>
              </w:rPr>
              <w:t>Jul 2026</w:t>
            </w:r>
          </w:p>
        </w:tc>
        <w:tc>
          <w:tcPr>
            <w:tcW w:type="dxa" w:w="3024"/>
            <w:shd w:val="clear" w:color="auto" w:fill="F2F2F2"/>
          </w:tcPr>
          <w:p>
            <w:pPr>
              <w:spacing w:before="60" w:after="60"/>
              <w:ind w:left="72"/>
            </w:pPr>
            <w:r>
              <w:rPr>
                <w:rFonts w:ascii="Arial" w:hAnsi="Arial"/>
                <w:color w:val="1F1F1F"/>
                <w:sz w:val="19"/>
              </w:rPr>
              <w:t>v0.7: all portal pages, health score live, customer access working</w:t>
            </w:r>
          </w:p>
        </w:tc>
      </w:tr>
      <w:tr>
        <w:tc>
          <w:tcPr>
            <w:tcW w:type="dxa" w:w="2736"/>
            <w:shd w:val="clear" w:color="auto" w:fill="FFFFFF"/>
          </w:tcPr>
          <w:p>
            <w:pPr>
              <w:spacing w:before="60" w:after="60"/>
              <w:ind w:left="72"/>
            </w:pPr>
            <w:r>
              <w:rPr>
                <w:rFonts w:ascii="Arial" w:hAnsi="Arial"/>
                <w:color w:val="1F1F1F"/>
                <w:sz w:val="19"/>
              </w:rPr>
              <w:t>Phase 3 — Native Integrations</w:t>
            </w:r>
          </w:p>
        </w:tc>
        <w:tc>
          <w:tcPr>
            <w:tcW w:type="dxa" w:w="1728"/>
            <w:shd w:val="clear" w:color="auto" w:fill="FFFFFF"/>
          </w:tcPr>
          <w:p>
            <w:pPr>
              <w:spacing w:before="60" w:after="60"/>
              <w:ind w:left="72"/>
            </w:pPr>
            <w:r>
              <w:rPr>
                <w:rFonts w:ascii="Arial" w:hAnsi="Arial"/>
                <w:color w:val="1F1F1F"/>
                <w:sz w:val="19"/>
              </w:rPr>
              <w:t>Weeks 11–14</w:t>
            </w:r>
          </w:p>
        </w:tc>
        <w:tc>
          <w:tcPr>
            <w:tcW w:type="dxa" w:w="1872"/>
            <w:shd w:val="clear" w:color="auto" w:fill="FFFFFF"/>
          </w:tcPr>
          <w:p>
            <w:pPr>
              <w:spacing w:before="60" w:after="60"/>
              <w:ind w:left="72"/>
            </w:pPr>
            <w:r>
              <w:rPr>
                <w:rFonts w:ascii="Arial" w:hAnsi="Arial"/>
                <w:color w:val="1F1F1F"/>
                <w:sz w:val="19"/>
              </w:rPr>
              <w:t>Aug 2026</w:t>
            </w:r>
          </w:p>
        </w:tc>
        <w:tc>
          <w:tcPr>
            <w:tcW w:type="dxa" w:w="3024"/>
            <w:shd w:val="clear" w:color="auto" w:fill="FFFFFF"/>
          </w:tcPr>
          <w:p>
            <w:pPr>
              <w:spacing w:before="60" w:after="60"/>
              <w:ind w:left="72"/>
            </w:pPr>
            <w:r>
              <w:rPr>
                <w:rFonts w:ascii="Arial" w:hAnsi="Arial"/>
                <w:color w:val="1F1F1F"/>
                <w:sz w:val="19"/>
              </w:rPr>
              <w:t>v0.9: Agile velocity, SPM milestones, PA charts, VA topics</w:t>
            </w:r>
          </w:p>
        </w:tc>
      </w:tr>
      <w:tr>
        <w:tc>
          <w:tcPr>
            <w:tcW w:type="dxa" w:w="2736"/>
            <w:shd w:val="clear" w:color="auto" w:fill="F2F2F2"/>
          </w:tcPr>
          <w:p>
            <w:pPr>
              <w:spacing w:before="60" w:after="60"/>
              <w:ind w:left="72"/>
            </w:pPr>
            <w:r>
              <w:rPr>
                <w:rFonts w:ascii="Arial" w:hAnsi="Arial"/>
                <w:color w:val="1F1F1F"/>
                <w:sz w:val="19"/>
              </w:rPr>
              <w:t>Phase 4 — Content &amp; ATF Release</w:t>
            </w:r>
          </w:p>
        </w:tc>
        <w:tc>
          <w:tcPr>
            <w:tcW w:type="dxa" w:w="1728"/>
            <w:shd w:val="clear" w:color="auto" w:fill="F2F2F2"/>
          </w:tcPr>
          <w:p>
            <w:pPr>
              <w:spacing w:before="60" w:after="60"/>
              <w:ind w:left="72"/>
            </w:pPr>
            <w:r>
              <w:rPr>
                <w:rFonts w:ascii="Arial" w:hAnsi="Arial"/>
                <w:color w:val="1F1F1F"/>
                <w:sz w:val="19"/>
              </w:rPr>
              <w:t>Weeks 15–18</w:t>
            </w:r>
          </w:p>
        </w:tc>
        <w:tc>
          <w:tcPr>
            <w:tcW w:type="dxa" w:w="1872"/>
            <w:shd w:val="clear" w:color="auto" w:fill="F2F2F2"/>
          </w:tcPr>
          <w:p>
            <w:pPr>
              <w:spacing w:before="60" w:after="60"/>
              <w:ind w:left="72"/>
            </w:pPr>
            <w:r>
              <w:rPr>
                <w:rFonts w:ascii="Arial" w:hAnsi="Arial"/>
                <w:color w:val="1F1F1F"/>
                <w:sz w:val="19"/>
              </w:rPr>
              <w:t>Sep–Oct 2026</w:t>
            </w:r>
          </w:p>
        </w:tc>
        <w:tc>
          <w:tcPr>
            <w:tcW w:type="dxa" w:w="3024"/>
            <w:shd w:val="clear" w:color="auto" w:fill="F2F2F2"/>
          </w:tcPr>
          <w:p>
            <w:pPr>
              <w:spacing w:before="60" w:after="60"/>
              <w:ind w:left="72"/>
            </w:pPr>
            <w:r>
              <w:rPr>
                <w:rFonts w:ascii="Arial" w:hAnsi="Arial"/>
                <w:color w:val="1F1F1F"/>
                <w:sz w:val="19"/>
              </w:rPr>
              <w:t>v1.0: content loaded, ATF 80%+, Store prep, pilot on first engagement</w:t>
            </w:r>
          </w:p>
        </w:tc>
      </w:tr>
    </w:tbl>
    <w:p>
      <w:pPr>
        <w:spacing w:after="10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FEF9EC"/>
          </w:tcPr>
          <w:p>
            <w:pPr>
              <w:spacing w:before="100" w:after="100"/>
              <w:ind w:left="144"/>
            </w:pPr>
            <w:r>
              <w:rPr>
                <w:rFonts w:ascii="Arial" w:hAnsi="Arial"/>
                <w:b/>
                <w:color w:val="C9A02B"/>
                <w:sz w:val="20"/>
              </w:rPr>
              <w:t xml:space="preserve">Store certification parallel track:  </w:t>
            </w:r>
            <w:r>
              <w:rPr>
                <w:rFonts w:ascii="Arial" w:hAnsi="Arial"/>
                <w:color w:val="1F1F1F"/>
                <w:sz w:val="20"/>
              </w:rPr>
              <w:t>ServiceNow ISV partner enrollment should begin in Phase 0 (Week −2) and run concurrently with development. Certification review takes 4–6 weeks independently of build progress. Target Store listing: Q1 2027.</w:t>
            </w:r>
          </w:p>
        </w:tc>
      </w:tr>
    </w:tbl>
    <w:p>
      <w:pPr>
        <w:spacing w:after="80"/>
      </w:pPr>
    </w:p>
    <w:p>
      <w:pPr>
        <w:spacing w:before="320" w:after="100"/>
        <w:pBdr>
          <w:bottom w:val="single" w:sz="6" w:space="1" w:color="1B3A6B"/>
        </w:pBdr>
      </w:pPr>
      <w:r>
        <w:rPr>
          <w:rFonts w:ascii="Arial" w:hAnsi="Arial"/>
          <w:b/>
          <w:color w:val="1B3A6B"/>
          <w:sz w:val="26"/>
        </w:rPr>
        <w:t>5. RISK PROFILE</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576"/>
            <w:shd w:val="clear" w:color="auto" w:fill="378630"/>
          </w:tcPr>
          <w:p>
            <w:pPr>
              <w:spacing w:before="60" w:after="60"/>
              <w:jc w:val="center"/>
            </w:pPr>
            <w:r>
              <w:rPr>
                <w:rFonts w:ascii="Arial" w:hAnsi="Arial"/>
                <w:b/>
                <w:color w:val="FFFFFF"/>
                <w:sz w:val="19"/>
              </w:rPr>
              <w:t>LOW</w:t>
            </w:r>
          </w:p>
        </w:tc>
        <w:tc>
          <w:tcPr>
            <w:tcW w:type="dxa" w:w="8784"/>
            <w:shd w:val="clear" w:color="auto" w:fill="F9F9F9"/>
          </w:tcPr>
          <w:p>
            <w:pPr>
              <w:spacing w:before="60" w:after="60"/>
              <w:ind w:left="144"/>
            </w:pPr>
            <w:r>
              <w:rPr>
                <w:rFonts w:ascii="Arial" w:hAnsi="Arial"/>
                <w:color w:val="1F1F1F"/>
                <w:sz w:val="19"/>
              </w:rPr>
              <w:t>Upgrade risk: scoped app is isolated from ServiceNow platform upgrades. Extensions do not conflict with native tables.</w:t>
            </w:r>
          </w:p>
        </w:tc>
      </w:tr>
    </w:tbl>
    <w:p>
      <w:pPr>
        <w:spacing w:after="4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576"/>
            <w:shd w:val="clear" w:color="auto" w:fill="E67E22"/>
          </w:tcPr>
          <w:p>
            <w:pPr>
              <w:spacing w:before="60" w:after="60"/>
              <w:jc w:val="center"/>
            </w:pPr>
            <w:r>
              <w:rPr>
                <w:rFonts w:ascii="Arial" w:hAnsi="Arial"/>
                <w:b/>
                <w:color w:val="FFFFFF"/>
                <w:sz w:val="19"/>
              </w:rPr>
              <w:t>MED</w:t>
            </w:r>
          </w:p>
        </w:tc>
        <w:tc>
          <w:tcPr>
            <w:tcW w:type="dxa" w:w="8784"/>
            <w:shd w:val="clear" w:color="auto" w:fill="F9F9F9"/>
          </w:tcPr>
          <w:p>
            <w:pPr>
              <w:spacing w:before="60" w:after="60"/>
              <w:ind w:left="144"/>
            </w:pPr>
            <w:r>
              <w:rPr>
                <w:rFonts w:ascii="Arial" w:hAnsi="Arial"/>
                <w:color w:val="1F1F1F"/>
                <w:sz w:val="19"/>
              </w:rPr>
              <w:t>Resourcing: Lead Architect / App Developer is a dedicated resource. If shared across engagements, calendar duration extends. Mitigate by ring-fencing one senior developer for 16 weeks.</w:t>
            </w:r>
          </w:p>
        </w:tc>
      </w:tr>
    </w:tbl>
    <w:p>
      <w:pPr>
        <w:spacing w:after="4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576"/>
            <w:shd w:val="clear" w:color="auto" w:fill="E67E22"/>
          </w:tcPr>
          <w:p>
            <w:pPr>
              <w:spacing w:before="60" w:after="60"/>
              <w:jc w:val="center"/>
            </w:pPr>
            <w:r>
              <w:rPr>
                <w:rFonts w:ascii="Arial" w:hAnsi="Arial"/>
                <w:b/>
                <w:color w:val="FFFFFF"/>
                <w:sz w:val="19"/>
              </w:rPr>
              <w:t>MED</w:t>
            </w:r>
          </w:p>
        </w:tc>
        <w:tc>
          <w:tcPr>
            <w:tcW w:type="dxa" w:w="8784"/>
            <w:shd w:val="clear" w:color="auto" w:fill="F9F9F9"/>
          </w:tcPr>
          <w:p>
            <w:pPr>
              <w:spacing w:before="60" w:after="60"/>
              <w:ind w:left="144"/>
            </w:pPr>
            <w:r>
              <w:rPr>
                <w:rFonts w:ascii="Arial" w:hAnsi="Arial"/>
                <w:color w:val="1F1F1F"/>
                <w:sz w:val="19"/>
              </w:rPr>
              <w:t>App Engine SKU dependency: customer must have App Engine Standard or equivalent. Confirm during Sprint 0 discovery. Design does not assume PA availability — graceful fallback to native reporting.</w:t>
            </w:r>
          </w:p>
        </w:tc>
      </w:tr>
    </w:tbl>
    <w:p>
      <w:pPr>
        <w:spacing w:after="4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576"/>
            <w:shd w:val="clear" w:color="auto" w:fill="378630"/>
          </w:tcPr>
          <w:p>
            <w:pPr>
              <w:spacing w:before="60" w:after="60"/>
              <w:jc w:val="center"/>
            </w:pPr>
            <w:r>
              <w:rPr>
                <w:rFonts w:ascii="Arial" w:hAnsi="Arial"/>
                <w:b/>
                <w:color w:val="FFFFFF"/>
                <w:sz w:val="19"/>
              </w:rPr>
              <w:t>LOW</w:t>
            </w:r>
          </w:p>
        </w:tc>
        <w:tc>
          <w:tcPr>
            <w:tcW w:type="dxa" w:w="8784"/>
            <w:shd w:val="clear" w:color="auto" w:fill="F9F9F9"/>
          </w:tcPr>
          <w:p>
            <w:pPr>
              <w:spacing w:before="60" w:after="60"/>
              <w:ind w:left="144"/>
            </w:pPr>
            <w:r>
              <w:rPr>
                <w:rFonts w:ascii="Arial" w:hAnsi="Arial"/>
                <w:color w:val="1F1F1F"/>
                <w:sz w:val="19"/>
              </w:rPr>
              <w:t>Commercial packaging: clean scoped app is the ServiceNow Store standard. No structural obstacles to certification beyond time and ISV program enrollment.</w:t>
            </w:r>
          </w:p>
        </w:tc>
      </w:tr>
    </w:tbl>
    <w:p>
      <w:pPr>
        <w:spacing w:after="4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576"/>
            <w:shd w:val="clear" w:color="auto" w:fill="378630"/>
          </w:tcPr>
          <w:p>
            <w:pPr>
              <w:spacing w:before="60" w:after="60"/>
              <w:jc w:val="center"/>
            </w:pPr>
            <w:r>
              <w:rPr>
                <w:rFonts w:ascii="Arial" w:hAnsi="Arial"/>
                <w:b/>
                <w:color w:val="FFFFFF"/>
                <w:sz w:val="19"/>
              </w:rPr>
              <w:t>LOW</w:t>
            </w:r>
          </w:p>
        </w:tc>
        <w:tc>
          <w:tcPr>
            <w:tcW w:type="dxa" w:w="8784"/>
            <w:shd w:val="clear" w:color="auto" w:fill="F9F9F9"/>
          </w:tcPr>
          <w:p>
            <w:pPr>
              <w:spacing w:before="60" w:after="60"/>
              <w:ind w:left="144"/>
            </w:pPr>
            <w:r>
              <w:rPr>
                <w:rFonts w:ascii="Arial" w:hAnsi="Arial"/>
                <w:color w:val="1F1F1F"/>
                <w:sz w:val="19"/>
              </w:rPr>
              <w:t>Content loading: all ECS collateral already exists. Phase 4 content work is tagging and importing existing docs — no new authoring required.</w:t>
            </w:r>
          </w:p>
        </w:tc>
      </w:tr>
    </w:tbl>
    <w:p>
      <w:pPr>
        <w:spacing w:after="40"/>
      </w:pPr>
    </w:p>
    <w:p>
      <w:r>
        <w:br w:type="page"/>
      </w:r>
    </w:p>
    <w:p>
      <w:pPr>
        <w:spacing w:before="320" w:after="100"/>
        <w:pBdr>
          <w:bottom w:val="single" w:sz="6" w:space="1" w:color="1B3A6B"/>
        </w:pBdr>
      </w:pPr>
      <w:r>
        <w:rPr>
          <w:rFonts w:ascii="Arial" w:hAnsi="Arial"/>
          <w:b/>
          <w:color w:val="1B3A6B"/>
          <w:sz w:val="26"/>
        </w:rPr>
        <w:t>6. RETURN ON INVESTMENT</w:t>
      </w:r>
    </w:p>
    <w:p>
      <w:pPr>
        <w:spacing w:before="0" w:after="120"/>
        <w:jc w:val="left"/>
      </w:pPr>
      <w:r>
        <w:rPr>
          <w:rFonts w:ascii="Arial" w:hAnsi="Arial"/>
          <w:b w:val="0"/>
          <w:i w:val="0"/>
          <w:color w:val="1F1F1F"/>
          <w:sz w:val="21"/>
        </w:rPr>
        <w:t>The investment pays back through three channels, each compounding over time.</w:t>
      </w:r>
    </w:p>
    <w:p>
      <w:pPr>
        <w:spacing w:before="200" w:after="60"/>
      </w:pPr>
      <w:r>
        <w:rPr>
          <w:rFonts w:ascii="Arial" w:hAnsi="Arial"/>
          <w:b/>
          <w:color w:val="2E75B6"/>
          <w:sz w:val="22"/>
        </w:rPr>
        <w:t>Channel 1 — Delivery Efficiency (Immediate)</w:t>
      </w:r>
    </w:p>
    <w:p>
      <w:pPr>
        <w:spacing w:before="0" w:after="120"/>
        <w:jc w:val="left"/>
      </w:pPr>
      <w:r>
        <w:rPr>
          <w:rFonts w:ascii="Arial" w:hAnsi="Arial"/>
          <w:b w:val="0"/>
          <w:i w:val="0"/>
          <w:color w:val="1F1F1F"/>
          <w:sz w:val="21"/>
        </w:rPr>
        <w:t>Eliminating manual status reporting saves an estimated 2–4 hours per week per engagement. Across 10 active engagements annually, that is 1,040–2,080 hours per year of recovered billable consultant time — exceeding the build investment in year one alone.</w:t>
      </w:r>
    </w:p>
    <w:p>
      <w:pPr>
        <w:spacing w:before="200" w:after="60"/>
      </w:pPr>
      <w:r>
        <w:rPr>
          <w:rFonts w:ascii="Arial" w:hAnsi="Arial"/>
          <w:b/>
          <w:color w:val="2E75B6"/>
          <w:sz w:val="22"/>
        </w:rPr>
        <w:t>Channel 2 — Sales Differentiation (Engagements 1+)</w:t>
      </w:r>
    </w:p>
    <w:p>
      <w:pPr>
        <w:spacing w:before="0" w:after="120"/>
        <w:jc w:val="left"/>
      </w:pPr>
      <w:r>
        <w:rPr>
          <w:rFonts w:ascii="Arial" w:hAnsi="Arial"/>
          <w:b w:val="0"/>
          <w:i w:val="0"/>
          <w:color w:val="1F1F1F"/>
          <w:sz w:val="21"/>
        </w:rPr>
        <w:t>A customer-facing delivery portal is a differentiator in proposals that competitors cannot replicate without a similar investment. It directly supports the OOTB proof narrative: we deliver the way we say we deliver, and we can show you in real time.</w:t>
      </w:r>
    </w:p>
    <w:p>
      <w:pPr>
        <w:spacing w:before="200" w:after="60"/>
      </w:pPr>
      <w:r>
        <w:rPr>
          <w:rFonts w:ascii="Arial" w:hAnsi="Arial"/>
          <w:b/>
          <w:color w:val="2E75B6"/>
          <w:sz w:val="22"/>
        </w:rPr>
        <w:t>Channel 3 — Commercial Product (Year 2+)</w:t>
      </w:r>
    </w:p>
    <w:p>
      <w:pPr>
        <w:spacing w:before="0" w:after="160"/>
        <w:jc w:val="left"/>
      </w:pPr>
      <w:r>
        <w:rPr>
          <w:rFonts w:ascii="Arial" w:hAnsi="Arial"/>
          <w:b w:val="0"/>
          <w:i w:val="0"/>
          <w:color w:val="1F1F1F"/>
          <w:sz w:val="21"/>
        </w:rPr>
        <w:t>A ServiceNow Store listing creates a product revenue stream. Even at modest adoption (10–20 customers paying a subscription or per-engagement fee), the asset generates recurring income independent of services revenue. The Store listing also drives inbound awareness of the ECS practice from customers shopping for delivery methodology tools.</w:t>
      </w:r>
    </w:p>
    <w:p>
      <w:pPr>
        <w:spacing w:before="320" w:after="100"/>
        <w:pBdr>
          <w:bottom w:val="single" w:sz="6" w:space="1" w:color="1B3A6B"/>
        </w:pBdr>
      </w:pPr>
      <w:r>
        <w:rPr>
          <w:rFonts w:ascii="Arial" w:hAnsi="Arial"/>
          <w:b/>
          <w:color w:val="1B3A6B"/>
          <w:sz w:val="26"/>
        </w:rPr>
        <w:t>7. BLUEPRINT A VS. BLUEPRINT B AT A GLANCE</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448"/>
            <w:shd w:val="clear" w:color="auto" w:fill="1B3A6B"/>
          </w:tcPr>
          <w:p>
            <w:pPr>
              <w:spacing w:before="80" w:after="80"/>
              <w:ind w:left="72"/>
            </w:pPr>
            <w:r>
              <w:rPr>
                <w:rFonts w:ascii="Arial" w:hAnsi="Arial"/>
                <w:b/>
                <w:color w:val="FFFFFF"/>
                <w:sz w:val="20"/>
              </w:rPr>
              <w:t>Factor</w:t>
            </w:r>
          </w:p>
        </w:tc>
        <w:tc>
          <w:tcPr>
            <w:tcW w:type="dxa" w:w="3456"/>
            <w:shd w:val="clear" w:color="auto" w:fill="1B3A6B"/>
          </w:tcPr>
          <w:p>
            <w:pPr>
              <w:spacing w:before="80" w:after="80"/>
              <w:ind w:left="72"/>
            </w:pPr>
            <w:r>
              <w:rPr>
                <w:rFonts w:ascii="Arial" w:hAnsi="Arial"/>
                <w:b/>
                <w:color w:val="FFFFFF"/>
                <w:sz w:val="20"/>
              </w:rPr>
              <w:t>Blueprint A (This Brief)</w:t>
            </w:r>
          </w:p>
        </w:tc>
        <w:tc>
          <w:tcPr>
            <w:tcW w:type="dxa" w:w="3456"/>
            <w:shd w:val="clear" w:color="auto" w:fill="1B3A6B"/>
          </w:tcPr>
          <w:p>
            <w:pPr>
              <w:spacing w:before="80" w:after="80"/>
              <w:ind w:left="72"/>
            </w:pPr>
            <w:r>
              <w:rPr>
                <w:rFonts w:ascii="Arial" w:hAnsi="Arial"/>
                <w:b/>
                <w:color w:val="FFFFFF"/>
                <w:sz w:val="20"/>
              </w:rPr>
              <w:t>Blueprint B (Table Extends)</w:t>
            </w:r>
          </w:p>
        </w:tc>
      </w:tr>
      <w:tr>
        <w:tc>
          <w:tcPr>
            <w:tcW w:type="dxa" w:w="2448"/>
            <w:shd w:val="clear" w:color="auto" w:fill="F2F2F2"/>
          </w:tcPr>
          <w:p>
            <w:pPr>
              <w:spacing w:before="60" w:after="60"/>
              <w:ind w:left="72"/>
            </w:pPr>
            <w:r>
              <w:rPr>
                <w:rFonts w:ascii="Arial" w:hAnsi="Arial"/>
                <w:color w:val="1F1F1F"/>
                <w:sz w:val="19"/>
              </w:rPr>
              <w:t>Build Duration</w:t>
            </w:r>
          </w:p>
        </w:tc>
        <w:tc>
          <w:tcPr>
            <w:tcW w:type="dxa" w:w="3456"/>
            <w:shd w:val="clear" w:color="auto" w:fill="F2F2F2"/>
          </w:tcPr>
          <w:p>
            <w:pPr>
              <w:spacing w:before="60" w:after="60"/>
              <w:ind w:left="72"/>
            </w:pPr>
            <w:r>
              <w:rPr>
                <w:rFonts w:ascii="Arial" w:hAnsi="Arial"/>
                <w:color w:val="1F1F1F"/>
                <w:sz w:val="19"/>
              </w:rPr>
              <w:t>16–18 weeks</w:t>
            </w:r>
          </w:p>
        </w:tc>
        <w:tc>
          <w:tcPr>
            <w:tcW w:type="dxa" w:w="3456"/>
            <w:shd w:val="clear" w:color="auto" w:fill="F2F2F2"/>
          </w:tcPr>
          <w:p>
            <w:pPr>
              <w:spacing w:before="60" w:after="60"/>
              <w:ind w:left="72"/>
            </w:pPr>
            <w:r>
              <w:rPr>
                <w:rFonts w:ascii="Arial" w:hAnsi="Arial"/>
                <w:color w:val="1F1F1F"/>
                <w:sz w:val="19"/>
              </w:rPr>
              <w:t>10–12 weeks</w:t>
            </w:r>
          </w:p>
        </w:tc>
      </w:tr>
      <w:tr>
        <w:tc>
          <w:tcPr>
            <w:tcW w:type="dxa" w:w="2448"/>
            <w:shd w:val="clear" w:color="auto" w:fill="FFFFFF"/>
          </w:tcPr>
          <w:p>
            <w:pPr>
              <w:spacing w:before="60" w:after="60"/>
              <w:ind w:left="72"/>
            </w:pPr>
            <w:r>
              <w:rPr>
                <w:rFonts w:ascii="Arial" w:hAnsi="Arial"/>
                <w:color w:val="1F1F1F"/>
                <w:sz w:val="19"/>
              </w:rPr>
              <w:t>Total Investment</w:t>
            </w:r>
          </w:p>
        </w:tc>
        <w:tc>
          <w:tcPr>
            <w:tcW w:type="dxa" w:w="3456"/>
            <w:shd w:val="clear" w:color="auto" w:fill="FFFFFF"/>
          </w:tcPr>
          <w:p>
            <w:pPr>
              <w:spacing w:before="60" w:after="60"/>
              <w:ind w:left="72"/>
            </w:pPr>
            <w:r>
              <w:rPr>
                <w:rFonts w:ascii="Arial" w:hAnsi="Arial"/>
                <w:color w:val="1F1F1F"/>
                <w:sz w:val="19"/>
              </w:rPr>
              <w:t>~1,400 hours</w:t>
            </w:r>
          </w:p>
        </w:tc>
        <w:tc>
          <w:tcPr>
            <w:tcW w:type="dxa" w:w="3456"/>
            <w:shd w:val="clear" w:color="auto" w:fill="FFFFFF"/>
          </w:tcPr>
          <w:p>
            <w:pPr>
              <w:spacing w:before="60" w:after="60"/>
              <w:ind w:left="72"/>
            </w:pPr>
            <w:r>
              <w:rPr>
                <w:rFonts w:ascii="Arial" w:hAnsi="Arial"/>
                <w:color w:val="1F1F1F"/>
                <w:sz w:val="19"/>
              </w:rPr>
              <w:t>~960 hours</w:t>
            </w:r>
          </w:p>
        </w:tc>
      </w:tr>
      <w:tr>
        <w:tc>
          <w:tcPr>
            <w:tcW w:type="dxa" w:w="2448"/>
            <w:shd w:val="clear" w:color="auto" w:fill="F2F2F2"/>
          </w:tcPr>
          <w:p>
            <w:pPr>
              <w:spacing w:before="60" w:after="60"/>
              <w:ind w:left="72"/>
            </w:pPr>
            <w:r>
              <w:rPr>
                <w:rFonts w:ascii="Arial" w:hAnsi="Arial"/>
                <w:color w:val="1F1F1F"/>
                <w:sz w:val="19"/>
              </w:rPr>
              <w:t>Lead Developer Profile</w:t>
            </w:r>
          </w:p>
        </w:tc>
        <w:tc>
          <w:tcPr>
            <w:tcW w:type="dxa" w:w="3456"/>
            <w:shd w:val="clear" w:color="auto" w:fill="F2F2F2"/>
          </w:tcPr>
          <w:p>
            <w:pPr>
              <w:spacing w:before="60" w:after="60"/>
              <w:ind w:left="72"/>
            </w:pPr>
            <w:r>
              <w:rPr>
                <w:rFonts w:ascii="Arial" w:hAnsi="Arial"/>
                <w:color w:val="1F1F1F"/>
                <w:sz w:val="19"/>
              </w:rPr>
              <w:t>App developer (Studio)</w:t>
            </w:r>
          </w:p>
        </w:tc>
        <w:tc>
          <w:tcPr>
            <w:tcW w:type="dxa" w:w="3456"/>
            <w:shd w:val="clear" w:color="auto" w:fill="F2F2F2"/>
          </w:tcPr>
          <w:p>
            <w:pPr>
              <w:spacing w:before="60" w:after="60"/>
              <w:ind w:left="72"/>
            </w:pPr>
            <w:r>
              <w:rPr>
                <w:rFonts w:ascii="Arial" w:hAnsi="Arial"/>
                <w:color w:val="1F1F1F"/>
                <w:sz w:val="19"/>
              </w:rPr>
              <w:t>Configurator</w:t>
            </w:r>
          </w:p>
        </w:tc>
      </w:tr>
      <w:tr>
        <w:tc>
          <w:tcPr>
            <w:tcW w:type="dxa" w:w="2448"/>
            <w:shd w:val="clear" w:color="auto" w:fill="FFFFFF"/>
          </w:tcPr>
          <w:p>
            <w:pPr>
              <w:spacing w:before="60" w:after="60"/>
              <w:ind w:left="72"/>
            </w:pPr>
            <w:r>
              <w:rPr>
                <w:rFonts w:ascii="Arial" w:hAnsi="Arial"/>
                <w:color w:val="1F1F1F"/>
                <w:sz w:val="19"/>
              </w:rPr>
              <w:t>App Engine SKU Required</w:t>
            </w:r>
          </w:p>
        </w:tc>
        <w:tc>
          <w:tcPr>
            <w:tcW w:type="dxa" w:w="3456"/>
            <w:shd w:val="clear" w:color="auto" w:fill="FFFFFF"/>
          </w:tcPr>
          <w:p>
            <w:pPr>
              <w:spacing w:before="60" w:after="60"/>
              <w:ind w:left="72"/>
            </w:pPr>
            <w:r>
              <w:rPr>
                <w:rFonts w:ascii="Arial" w:hAnsi="Arial"/>
                <w:color w:val="1F1F1F"/>
                <w:sz w:val="19"/>
              </w:rPr>
              <w:t>Yes</w:t>
            </w:r>
          </w:p>
        </w:tc>
        <w:tc>
          <w:tcPr>
            <w:tcW w:type="dxa" w:w="3456"/>
            <w:shd w:val="clear" w:color="auto" w:fill="FFFFFF"/>
          </w:tcPr>
          <w:p>
            <w:pPr>
              <w:spacing w:before="60" w:after="60"/>
              <w:ind w:left="72"/>
            </w:pPr>
            <w:r>
              <w:rPr>
                <w:rFonts w:ascii="Arial" w:hAnsi="Arial"/>
                <w:color w:val="1F1F1F"/>
                <w:sz w:val="19"/>
              </w:rPr>
              <w:t>No</w:t>
            </w:r>
          </w:p>
        </w:tc>
      </w:tr>
      <w:tr>
        <w:tc>
          <w:tcPr>
            <w:tcW w:type="dxa" w:w="2448"/>
            <w:shd w:val="clear" w:color="auto" w:fill="F2F2F2"/>
          </w:tcPr>
          <w:p>
            <w:pPr>
              <w:spacing w:before="60" w:after="60"/>
              <w:ind w:left="72"/>
            </w:pPr>
            <w:r>
              <w:rPr>
                <w:rFonts w:ascii="Arial" w:hAnsi="Arial"/>
                <w:color w:val="1F1F1F"/>
                <w:sz w:val="19"/>
              </w:rPr>
              <w:t>Commercial / Store Path</w:t>
            </w:r>
          </w:p>
        </w:tc>
        <w:tc>
          <w:tcPr>
            <w:tcW w:type="dxa" w:w="3456"/>
            <w:shd w:val="clear" w:color="auto" w:fill="F2F2F2"/>
          </w:tcPr>
          <w:p>
            <w:pPr>
              <w:spacing w:before="60" w:after="60"/>
              <w:ind w:left="72"/>
            </w:pPr>
            <w:r>
              <w:rPr>
                <w:rFonts w:ascii="Arial" w:hAnsi="Arial"/>
                <w:color w:val="1F1F1F"/>
                <w:sz w:val="19"/>
              </w:rPr>
              <w:t>Clean — Store-ready</w:t>
            </w:r>
          </w:p>
        </w:tc>
        <w:tc>
          <w:tcPr>
            <w:tcW w:type="dxa" w:w="3456"/>
            <w:shd w:val="clear" w:color="auto" w:fill="F2F2F2"/>
          </w:tcPr>
          <w:p>
            <w:pPr>
              <w:spacing w:before="60" w:after="60"/>
              <w:ind w:left="72"/>
            </w:pPr>
            <w:r>
              <w:rPr>
                <w:rFonts w:ascii="Arial" w:hAnsi="Arial"/>
                <w:color w:val="1F1F1F"/>
                <w:sz w:val="19"/>
              </w:rPr>
              <w:t>Messy — harder to package</w:t>
            </w:r>
          </w:p>
        </w:tc>
      </w:tr>
      <w:tr>
        <w:tc>
          <w:tcPr>
            <w:tcW w:type="dxa" w:w="2448"/>
            <w:shd w:val="clear" w:color="auto" w:fill="FFFFFF"/>
          </w:tcPr>
          <w:p>
            <w:pPr>
              <w:spacing w:before="60" w:after="60"/>
              <w:ind w:left="72"/>
            </w:pPr>
            <w:r>
              <w:rPr>
                <w:rFonts w:ascii="Arial" w:hAnsi="Arial"/>
                <w:color w:val="1F1F1F"/>
                <w:sz w:val="19"/>
              </w:rPr>
              <w:t>Upgrade Risk</w:t>
            </w:r>
          </w:p>
        </w:tc>
        <w:tc>
          <w:tcPr>
            <w:tcW w:type="dxa" w:w="3456"/>
            <w:shd w:val="clear" w:color="auto" w:fill="FFFFFF"/>
          </w:tcPr>
          <w:p>
            <w:pPr>
              <w:spacing w:before="60" w:after="60"/>
              <w:ind w:left="72"/>
            </w:pPr>
            <w:r>
              <w:rPr>
                <w:rFonts w:ascii="Arial" w:hAnsi="Arial"/>
                <w:color w:val="1F1F1F"/>
                <w:sz w:val="19"/>
              </w:rPr>
              <w:t>Low — scoped, isolated</w:t>
            </w:r>
          </w:p>
        </w:tc>
        <w:tc>
          <w:tcPr>
            <w:tcW w:type="dxa" w:w="3456"/>
            <w:shd w:val="clear" w:color="auto" w:fill="FFFFFF"/>
          </w:tcPr>
          <w:p>
            <w:pPr>
              <w:spacing w:before="60" w:after="60"/>
              <w:ind w:left="72"/>
            </w:pPr>
            <w:r>
              <w:rPr>
                <w:rFonts w:ascii="Arial" w:hAnsi="Arial"/>
                <w:color w:val="1F1F1F"/>
                <w:sz w:val="19"/>
              </w:rPr>
              <w:t>Medium — native table exposure</w:t>
            </w:r>
          </w:p>
        </w:tc>
      </w:tr>
      <w:tr>
        <w:tc>
          <w:tcPr>
            <w:tcW w:type="dxa" w:w="2448"/>
            <w:shd w:val="clear" w:color="auto" w:fill="F2F2F2"/>
          </w:tcPr>
          <w:p>
            <w:pPr>
              <w:spacing w:before="60" w:after="60"/>
              <w:ind w:left="72"/>
            </w:pPr>
            <w:r>
              <w:rPr>
                <w:rFonts w:ascii="Arial" w:hAnsi="Arial"/>
                <w:color w:val="1F1F1F"/>
                <w:sz w:val="19"/>
              </w:rPr>
              <w:t>Long-term Product Potential</w:t>
            </w:r>
          </w:p>
        </w:tc>
        <w:tc>
          <w:tcPr>
            <w:tcW w:type="dxa" w:w="3456"/>
            <w:shd w:val="clear" w:color="auto" w:fill="F2F2F2"/>
          </w:tcPr>
          <w:p>
            <w:pPr>
              <w:spacing w:before="60" w:after="60"/>
              <w:ind w:left="72"/>
            </w:pPr>
            <w:r>
              <w:rPr>
                <w:rFonts w:ascii="Arial" w:hAnsi="Arial"/>
                <w:color w:val="1F1F1F"/>
                <w:sz w:val="19"/>
              </w:rPr>
              <w:t>High</w:t>
            </w:r>
          </w:p>
        </w:tc>
        <w:tc>
          <w:tcPr>
            <w:tcW w:type="dxa" w:w="3456"/>
            <w:shd w:val="clear" w:color="auto" w:fill="F2F2F2"/>
          </w:tcPr>
          <w:p>
            <w:pPr>
              <w:spacing w:before="60" w:after="60"/>
              <w:ind w:left="72"/>
            </w:pPr>
            <w:r>
              <w:rPr>
                <w:rFonts w:ascii="Arial" w:hAnsi="Arial"/>
                <w:color w:val="1F1F1F"/>
                <w:sz w:val="19"/>
              </w:rPr>
              <w:t>Lower</w:t>
            </w:r>
          </w:p>
        </w:tc>
      </w:tr>
      <w:tr>
        <w:tc>
          <w:tcPr>
            <w:tcW w:type="dxa" w:w="2448"/>
            <w:shd w:val="clear" w:color="auto" w:fill="FFFFFF"/>
          </w:tcPr>
          <w:p>
            <w:pPr>
              <w:spacing w:before="60" w:after="60"/>
              <w:ind w:left="72"/>
            </w:pPr>
            <w:r>
              <w:rPr>
                <w:rFonts w:ascii="Arial" w:hAnsi="Arial"/>
                <w:color w:val="1F1F1F"/>
                <w:sz w:val="19"/>
              </w:rPr>
              <w:t>Right Choice When</w:t>
            </w:r>
          </w:p>
        </w:tc>
        <w:tc>
          <w:tcPr>
            <w:tcW w:type="dxa" w:w="3456"/>
            <w:shd w:val="clear" w:color="auto" w:fill="FFFFFF"/>
          </w:tcPr>
          <w:p>
            <w:pPr>
              <w:spacing w:before="60" w:after="60"/>
              <w:ind w:left="72"/>
            </w:pPr>
            <w:r>
              <w:rPr>
                <w:rFonts w:ascii="Arial" w:hAnsi="Arial"/>
                <w:color w:val="1F1F1F"/>
                <w:sz w:val="19"/>
              </w:rPr>
              <w:t>Strategic product investment; Store is the goal</w:t>
            </w:r>
          </w:p>
        </w:tc>
        <w:tc>
          <w:tcPr>
            <w:tcW w:type="dxa" w:w="3456"/>
            <w:shd w:val="clear" w:color="auto" w:fill="FFFFFF"/>
          </w:tcPr>
          <w:p>
            <w:pPr>
              <w:spacing w:before="60" w:after="60"/>
              <w:ind w:left="72"/>
            </w:pPr>
            <w:r>
              <w:rPr>
                <w:rFonts w:ascii="Arial" w:hAnsi="Arial"/>
                <w:color w:val="1F1F1F"/>
                <w:sz w:val="19"/>
              </w:rPr>
              <w:t>Speed to first use; App Engine not available</w:t>
            </w:r>
          </w:p>
        </w:tc>
      </w:tr>
    </w:tbl>
    <w:p>
      <w:pPr>
        <w:spacing w:after="100"/>
      </w:pPr>
    </w:p>
    <w:p>
      <w:pPr>
        <w:spacing w:before="320" w:after="100"/>
        <w:pBdr>
          <w:bottom w:val="single" w:sz="6" w:space="1" w:color="1B3A6B"/>
        </w:pBdr>
      </w:pPr>
      <w:r>
        <w:rPr>
          <w:rFonts w:ascii="Arial" w:hAnsi="Arial"/>
          <w:b/>
          <w:color w:val="1B3A6B"/>
          <w:sz w:val="26"/>
        </w:rPr>
        <w:t>8. RECOMMENDATION &amp; DECISION REQUIRED</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EBF3FB"/>
          </w:tcPr>
          <w:p>
            <w:pPr>
              <w:spacing w:before="100" w:after="100"/>
              <w:ind w:left="144"/>
            </w:pPr>
            <w:r>
              <w:rPr>
                <w:rFonts w:ascii="Arial" w:hAnsi="Arial"/>
                <w:b/>
                <w:color w:val="1B3A6B"/>
                <w:sz w:val="20"/>
              </w:rPr>
              <w:t xml:space="preserve">Recommendation:  </w:t>
            </w:r>
            <w:r>
              <w:rPr>
                <w:rFonts w:ascii="Arial" w:hAnsi="Arial"/>
                <w:color w:val="1F1F1F"/>
                <w:sz w:val="20"/>
              </w:rPr>
              <w:t>Approve Blueprint A as the target architecture. The additional 440 hours over Blueprint B are justified by the significantly stronger commercial product, lower long-term maintenance overhead, and clean path to the ServiceNow Store. Begin Phase 0 immediately following this approval — the architecture decision and PDI provisioning can start within one week.</w:t>
            </w:r>
          </w:p>
        </w:tc>
      </w:tr>
    </w:tbl>
    <w:p>
      <w:pPr>
        <w:spacing w:after="80"/>
      </w:pPr>
    </w:p>
    <w:p>
      <w:pPr>
        <w:spacing w:before="0" w:after="80"/>
        <w:jc w:val="left"/>
      </w:pPr>
      <w:r>
        <w:rPr>
          <w:rFonts w:ascii="Arial" w:hAnsi="Arial"/>
          <w:b/>
          <w:i w:val="0"/>
          <w:color w:val="1F1F1F"/>
          <w:sz w:val="21"/>
        </w:rPr>
        <w:t>Decisions required from this briefing:</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04"/>
            <w:shd w:val="clear" w:color="auto" w:fill="1B3A6B"/>
          </w:tcPr>
          <w:p>
            <w:pPr>
              <w:spacing w:before="80" w:after="80"/>
              <w:ind w:left="72"/>
            </w:pPr>
            <w:r>
              <w:rPr>
                <w:rFonts w:ascii="Arial" w:hAnsi="Arial"/>
                <w:b/>
                <w:color w:val="FFFFFF"/>
                <w:sz w:val="20"/>
              </w:rPr>
              <w:t>Decision</w:t>
            </w:r>
          </w:p>
        </w:tc>
        <w:tc>
          <w:tcPr>
            <w:tcW w:type="dxa" w:w="2880"/>
            <w:shd w:val="clear" w:color="auto" w:fill="1B3A6B"/>
          </w:tcPr>
          <w:p>
            <w:pPr>
              <w:spacing w:before="80" w:after="80"/>
              <w:ind w:left="72"/>
            </w:pPr>
            <w:r>
              <w:rPr>
                <w:rFonts w:ascii="Arial" w:hAnsi="Arial"/>
                <w:b/>
                <w:color w:val="FFFFFF"/>
                <w:sz w:val="20"/>
              </w:rPr>
              <w:t>Options</w:t>
            </w:r>
          </w:p>
        </w:tc>
        <w:tc>
          <w:tcPr>
            <w:tcW w:type="dxa" w:w="2160"/>
            <w:shd w:val="clear" w:color="auto" w:fill="1B3A6B"/>
          </w:tcPr>
          <w:p>
            <w:pPr>
              <w:spacing w:before="80" w:after="80"/>
              <w:ind w:left="72"/>
            </w:pPr>
            <w:r>
              <w:rPr>
                <w:rFonts w:ascii="Arial" w:hAnsi="Arial"/>
                <w:b/>
                <w:color w:val="FFFFFF"/>
                <w:sz w:val="20"/>
              </w:rPr>
              <w:t>Owner</w:t>
            </w:r>
          </w:p>
        </w:tc>
        <w:tc>
          <w:tcPr>
            <w:tcW w:type="dxa" w:w="2016"/>
            <w:shd w:val="clear" w:color="auto" w:fill="1B3A6B"/>
          </w:tcPr>
          <w:p>
            <w:pPr>
              <w:spacing w:before="80" w:after="80"/>
              <w:ind w:left="72"/>
            </w:pPr>
            <w:r>
              <w:rPr>
                <w:rFonts w:ascii="Arial" w:hAnsi="Arial"/>
                <w:b/>
                <w:color w:val="FFFFFF"/>
                <w:sz w:val="20"/>
              </w:rPr>
              <w:t>Needed By</w:t>
            </w:r>
          </w:p>
        </w:tc>
      </w:tr>
      <w:tr>
        <w:tc>
          <w:tcPr>
            <w:tcW w:type="dxa" w:w="2304"/>
            <w:shd w:val="clear" w:color="auto" w:fill="F2F2F2"/>
          </w:tcPr>
          <w:p>
            <w:pPr>
              <w:spacing w:before="60" w:after="60"/>
              <w:ind w:left="72"/>
            </w:pPr>
            <w:r>
              <w:rPr>
                <w:rFonts w:ascii="Arial" w:hAnsi="Arial"/>
                <w:color w:val="1F1F1F"/>
                <w:sz w:val="19"/>
              </w:rPr>
              <w:t>Architecture approach</w:t>
            </w:r>
          </w:p>
        </w:tc>
        <w:tc>
          <w:tcPr>
            <w:tcW w:type="dxa" w:w="2880"/>
            <w:shd w:val="clear" w:color="auto" w:fill="F2F2F2"/>
          </w:tcPr>
          <w:p>
            <w:pPr>
              <w:spacing w:before="60" w:after="60"/>
              <w:ind w:left="72"/>
            </w:pPr>
            <w:r>
              <w:rPr>
                <w:rFonts w:ascii="Arial" w:hAnsi="Arial"/>
                <w:color w:val="1F1F1F"/>
                <w:sz w:val="19"/>
              </w:rPr>
              <w:t>Blueprint A or Blueprint B</w:t>
            </w:r>
          </w:p>
        </w:tc>
        <w:tc>
          <w:tcPr>
            <w:tcW w:type="dxa" w:w="2160"/>
            <w:shd w:val="clear" w:color="auto" w:fill="F2F2F2"/>
          </w:tcPr>
          <w:p>
            <w:pPr>
              <w:spacing w:before="60" w:after="60"/>
              <w:ind w:left="72"/>
            </w:pPr>
            <w:r>
              <w:rPr>
                <w:rFonts w:ascii="Arial" w:hAnsi="Arial"/>
                <w:color w:val="1F1F1F"/>
                <w:sz w:val="19"/>
              </w:rPr>
              <w:t>Senior Director + Shawn</w:t>
            </w:r>
          </w:p>
        </w:tc>
        <w:tc>
          <w:tcPr>
            <w:tcW w:type="dxa" w:w="2016"/>
            <w:shd w:val="clear" w:color="auto" w:fill="F2F2F2"/>
          </w:tcPr>
          <w:p>
            <w:pPr>
              <w:spacing w:before="60" w:after="60"/>
              <w:ind w:left="72"/>
            </w:pPr>
            <w:r>
              <w:rPr>
                <w:rFonts w:ascii="Arial" w:hAnsi="Arial"/>
                <w:color w:val="1F1F1F"/>
                <w:sz w:val="19"/>
              </w:rPr>
              <w:t>End of architecture review</w:t>
            </w:r>
          </w:p>
        </w:tc>
      </w:tr>
      <w:tr>
        <w:tc>
          <w:tcPr>
            <w:tcW w:type="dxa" w:w="2304"/>
            <w:shd w:val="clear" w:color="auto" w:fill="FFFFFF"/>
          </w:tcPr>
          <w:p>
            <w:pPr>
              <w:spacing w:before="60" w:after="60"/>
              <w:ind w:left="72"/>
            </w:pPr>
            <w:r>
              <w:rPr>
                <w:rFonts w:ascii="Arial" w:hAnsi="Arial"/>
                <w:color w:val="1F1F1F"/>
                <w:sz w:val="19"/>
              </w:rPr>
              <w:t>Lead developer resource</w:t>
            </w:r>
          </w:p>
        </w:tc>
        <w:tc>
          <w:tcPr>
            <w:tcW w:type="dxa" w:w="2880"/>
            <w:shd w:val="clear" w:color="auto" w:fill="FFFFFF"/>
          </w:tcPr>
          <w:p>
            <w:pPr>
              <w:spacing w:before="60" w:after="60"/>
              <w:ind w:left="72"/>
            </w:pPr>
            <w:r>
              <w:rPr>
                <w:rFonts w:ascii="Arial" w:hAnsi="Arial"/>
                <w:color w:val="1F1F1F"/>
                <w:sz w:val="19"/>
              </w:rPr>
              <w:t>Identify and ring-fence dedicated developer</w:t>
            </w:r>
          </w:p>
        </w:tc>
        <w:tc>
          <w:tcPr>
            <w:tcW w:type="dxa" w:w="2160"/>
            <w:shd w:val="clear" w:color="auto" w:fill="FFFFFF"/>
          </w:tcPr>
          <w:p>
            <w:pPr>
              <w:spacing w:before="60" w:after="60"/>
              <w:ind w:left="72"/>
            </w:pPr>
            <w:r>
              <w:rPr>
                <w:rFonts w:ascii="Arial" w:hAnsi="Arial"/>
                <w:color w:val="1F1F1F"/>
                <w:sz w:val="19"/>
              </w:rPr>
              <w:t>Senior Director</w:t>
            </w:r>
          </w:p>
        </w:tc>
        <w:tc>
          <w:tcPr>
            <w:tcW w:type="dxa" w:w="2016"/>
            <w:shd w:val="clear" w:color="auto" w:fill="FFFFFF"/>
          </w:tcPr>
          <w:p>
            <w:pPr>
              <w:spacing w:before="60" w:after="60"/>
              <w:ind w:left="72"/>
            </w:pPr>
            <w:r>
              <w:rPr>
                <w:rFonts w:ascii="Arial" w:hAnsi="Arial"/>
                <w:color w:val="1F1F1F"/>
                <w:sz w:val="19"/>
              </w:rPr>
              <w:t>1 week post-approval</w:t>
            </w:r>
          </w:p>
        </w:tc>
      </w:tr>
      <w:tr>
        <w:tc>
          <w:tcPr>
            <w:tcW w:type="dxa" w:w="2304"/>
            <w:shd w:val="clear" w:color="auto" w:fill="F2F2F2"/>
          </w:tcPr>
          <w:p>
            <w:pPr>
              <w:spacing w:before="60" w:after="60"/>
              <w:ind w:left="72"/>
            </w:pPr>
            <w:r>
              <w:rPr>
                <w:rFonts w:ascii="Arial" w:hAnsi="Arial"/>
                <w:color w:val="1F1F1F"/>
                <w:sz w:val="19"/>
              </w:rPr>
              <w:t>ISV partner program enrollment</w:t>
            </w:r>
          </w:p>
        </w:tc>
        <w:tc>
          <w:tcPr>
            <w:tcW w:type="dxa" w:w="2880"/>
            <w:shd w:val="clear" w:color="auto" w:fill="F2F2F2"/>
          </w:tcPr>
          <w:p>
            <w:pPr>
              <w:spacing w:before="60" w:after="60"/>
              <w:ind w:left="72"/>
            </w:pPr>
            <w:r>
              <w:rPr>
                <w:rFonts w:ascii="Arial" w:hAnsi="Arial"/>
                <w:color w:val="1F1F1F"/>
                <w:sz w:val="19"/>
              </w:rPr>
              <w:t>Begin now or defer to Q4 2026</w:t>
            </w:r>
          </w:p>
        </w:tc>
        <w:tc>
          <w:tcPr>
            <w:tcW w:type="dxa" w:w="2160"/>
            <w:shd w:val="clear" w:color="auto" w:fill="F2F2F2"/>
          </w:tcPr>
          <w:p>
            <w:pPr>
              <w:spacing w:before="60" w:after="60"/>
              <w:ind w:left="72"/>
            </w:pPr>
            <w:r>
              <w:rPr>
                <w:rFonts w:ascii="Arial" w:hAnsi="Arial"/>
                <w:color w:val="1F1F1F"/>
                <w:sz w:val="19"/>
              </w:rPr>
              <w:t>Senior Director + Practice Mgr</w:t>
            </w:r>
          </w:p>
        </w:tc>
        <w:tc>
          <w:tcPr>
            <w:tcW w:type="dxa" w:w="2016"/>
            <w:shd w:val="clear" w:color="auto" w:fill="F2F2F2"/>
          </w:tcPr>
          <w:p>
            <w:pPr>
              <w:spacing w:before="60" w:after="60"/>
              <w:ind w:left="72"/>
            </w:pPr>
            <w:r>
              <w:rPr>
                <w:rFonts w:ascii="Arial" w:hAnsi="Arial"/>
                <w:color w:val="1F1F1F"/>
                <w:sz w:val="19"/>
              </w:rPr>
              <w:t>2 weeks post-approval</w:t>
            </w:r>
          </w:p>
        </w:tc>
      </w:tr>
      <w:tr>
        <w:tc>
          <w:tcPr>
            <w:tcW w:type="dxa" w:w="2304"/>
            <w:shd w:val="clear" w:color="auto" w:fill="FFFFFF"/>
          </w:tcPr>
          <w:p>
            <w:pPr>
              <w:spacing w:before="60" w:after="60"/>
              <w:ind w:left="72"/>
            </w:pPr>
            <w:r>
              <w:rPr>
                <w:rFonts w:ascii="Arial" w:hAnsi="Arial"/>
                <w:color w:val="1F1F1F"/>
                <w:sz w:val="19"/>
              </w:rPr>
              <w:t>Phase 0 kickoff date</w:t>
            </w:r>
          </w:p>
        </w:tc>
        <w:tc>
          <w:tcPr>
            <w:tcW w:type="dxa" w:w="2880"/>
            <w:shd w:val="clear" w:color="auto" w:fill="FFFFFF"/>
          </w:tcPr>
          <w:p>
            <w:pPr>
              <w:spacing w:before="60" w:after="60"/>
              <w:ind w:left="72"/>
            </w:pPr>
            <w:r>
              <w:rPr>
                <w:rFonts w:ascii="Arial" w:hAnsi="Arial"/>
                <w:color w:val="1F1F1F"/>
                <w:sz w:val="19"/>
              </w:rPr>
              <w:t>Target: week of 01 Jun 2026</w:t>
            </w:r>
          </w:p>
        </w:tc>
        <w:tc>
          <w:tcPr>
            <w:tcW w:type="dxa" w:w="2160"/>
            <w:shd w:val="clear" w:color="auto" w:fill="FFFFFF"/>
          </w:tcPr>
          <w:p>
            <w:pPr>
              <w:spacing w:before="60" w:after="60"/>
              <w:ind w:left="72"/>
            </w:pPr>
            <w:r>
              <w:rPr>
                <w:rFonts w:ascii="Arial" w:hAnsi="Arial"/>
                <w:color w:val="1F1F1F"/>
                <w:sz w:val="19"/>
              </w:rPr>
              <w:t>Senior Director</w:t>
            </w:r>
          </w:p>
        </w:tc>
        <w:tc>
          <w:tcPr>
            <w:tcW w:type="dxa" w:w="2016"/>
            <w:shd w:val="clear" w:color="auto" w:fill="FFFFFF"/>
          </w:tcPr>
          <w:p>
            <w:pPr>
              <w:spacing w:before="60" w:after="60"/>
              <w:ind w:left="72"/>
            </w:pPr>
            <w:r>
              <w:rPr>
                <w:rFonts w:ascii="Arial" w:hAnsi="Arial"/>
                <w:color w:val="1F1F1F"/>
                <w:sz w:val="19"/>
              </w:rPr>
              <w:t>This week</w:t>
            </w:r>
          </w:p>
        </w:tc>
      </w:tr>
    </w:tbl>
    <w:p>
      <w:pPr>
        <w:spacing w:after="100"/>
      </w:pPr>
    </w:p>
    <w:p/>
    <w:p>
      <w:pPr>
        <w:spacing w:before="40" w:after="40"/>
        <w:pBdr>
          <w:bottom w:val="single" w:sz="4" w:space="1" w:color="2E75B6"/>
        </w:pBdr>
      </w:pPr>
    </w:p>
    <w:p>
      <w:pPr>
        <w:spacing w:before="80"/>
        <w:jc w:val="center"/>
      </w:pPr>
      <w:r>
        <w:rPr>
          <w:rFonts w:ascii="Arial" w:hAnsi="Arial"/>
          <w:color w:val="707070"/>
          <w:sz w:val="16"/>
        </w:rPr>
        <w:t>Everforth ECS Practice  ·  Blueprint A Executive Briefing  ·  CONFIDENTIAL — INTERNAL  ·  May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Pr>
    <w:r>
      <w:rPr>
        <w:rFonts w:ascii="Calibri" w:hAnsi="Calibri"/>
        <w:color w:val="475569"/>
        <w:sz w:val="16"/>
      </w:rPr>
      <w:t>ECS Federal  ·  ServiceNow Practice  ·  Internal Use Only</w:t>
    </w:r>
    <w:r>
      <w:rPr>
        <w:rFonts w:ascii="Calibri" w:hAnsi="Calibri"/>
        <w:color w:val="475569"/>
        <w:sz w:val="16"/>
      </w:rPr>
      <w:tab/>
    </w:r>
    <w:r>
      <w:rPr>
        <w:rFonts w:ascii="Calibri" w:hAnsi="Calibri"/>
        <w:color w:val="475569"/>
        <w:sz w:val="16"/>
      </w:rPr>
      <w:t xml:space="preserve">Page </w:t>
    </w:r>
    <w:r>
      <w:rPr>
        <w:rFonts w:ascii="Calibri" w:hAnsi="Calibri"/>
        <w:color w:val="475569"/>
        <w:sz w:val="16"/>
      </w:rPr>
      <w:fldChar w:fldCharType="begin"/>
      <w:instrText> PAGE </w:instrText>
      <w:fldChar w:fldCharType="separate"/>
      <w:fldChar w:fldCharType="end"/>
    </w:r>
    <w:r>
      <w:rPr>
        <w:rFonts w:ascii="Calibri" w:hAnsi="Calibri"/>
        <w:color w:val="475569"/>
        <w:sz w:val="16"/>
      </w:rPr>
      <w:t xml:space="preserve"> of </w:t>
    </w:r>
    <w:r>
      <w:rPr>
        <w:rFonts w:ascii="Calibri" w:hAnsi="Calibri"/>
        <w:color w:val="475569"/>
        <w:sz w:val="16"/>
      </w:rPr>
      <w:fldChar w:fldCharType="begin"/>
      <w:instrText>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14B8A6" w:sz="8" w:space="1"/>
      </w:pBdr>
      <w:tabs>
        <w:tab w:val="right" w:pos="9360"/>
      </w:tabs>
    </w:pPr>
    <w:r>
      <w:drawing>
        <wp:inline xmlns:a="http://schemas.openxmlformats.org/drawingml/2006/main" xmlns:pic="http://schemas.openxmlformats.org/drawingml/2006/picture">
          <wp:extent cx="960120" cy="178932"/>
          <wp:docPr id="1" name="Picture 1"/>
          <wp:cNvGraphicFramePr>
            <a:graphicFrameLocks noChangeAspect="1"/>
          </wp:cNvGraphicFramePr>
          <a:graphic>
            <a:graphicData uri="http://schemas.openxmlformats.org/drawingml/2006/picture">
              <pic:pic>
                <pic:nvPicPr>
                  <pic:cNvPr id="0" name="everforth_logo_rgb.png"/>
                  <pic:cNvPicPr/>
                </pic:nvPicPr>
                <pic:blipFill>
                  <a:blip r:embed="rId1"/>
                  <a:stretch>
                    <a:fillRect/>
                  </a:stretch>
                </pic:blipFill>
                <pic:spPr>
                  <a:xfrm>
                    <a:off x="0" y="0"/>
                    <a:ext cx="960120" cy="178932"/>
                  </a:xfrm>
                  <a:prstGeom prst="rect"/>
                </pic:spPr>
              </pic:pic>
            </a:graphicData>
          </a:graphic>
        </wp:inline>
      </w:drawing>
    </w:r>
    <w:r>
      <w:rPr>
        <w:rFonts w:ascii="Calibri" w:hAnsi="Calibri"/>
        <w:color w:val="475569"/>
        <w:sz w:val="18"/>
      </w:rPr>
      <w:tab/>
    </w:r>
    <w:r>
      <w:rPr>
        <w:rFonts w:ascii="Calibri" w:hAnsi="Calibri"/>
        <w:color w:val="475569"/>
        <w:sz w:val="18"/>
      </w:rPr>
      <w:t>Internal  ·  Executive Brief: Blueprint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