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Arial" w:hAnsi="Arial"/>
          <w:b/>
          <w:color w:val="C9A02B"/>
          <w:sz w:val="20"/>
        </w:rPr>
        <w:t>EVERFORTH ECS PRACTICE</w:t>
      </w:r>
    </w:p>
    <w:p>
      <w:pPr>
        <w:spacing w:after="80"/>
        <w:jc w:val="center"/>
      </w:pPr>
      <w:r>
        <w:rPr>
          <w:rFonts w:ascii="Arial" w:hAnsi="Arial"/>
          <w:b/>
          <w:color w:val="1B3A6B"/>
          <w:sz w:val="44"/>
        </w:rPr>
        <w:t>Executive Investment Briefing</w:t>
      </w:r>
    </w:p>
    <w:p>
      <w:pPr>
        <w:spacing w:after="80"/>
        <w:jc w:val="center"/>
      </w:pPr>
      <w:r>
        <w:rPr>
          <w:rFonts w:ascii="Arial" w:hAnsi="Arial"/>
          <w:color w:val="1B3A6B"/>
          <w:sz w:val="32"/>
        </w:rPr>
        <w:t>ECS Delivery Intelligence Platform</w:t>
      </w:r>
    </w:p>
    <w:p>
      <w:pPr>
        <w:spacing w:after="120"/>
        <w:jc w:val="center"/>
      </w:pPr>
      <w:r>
        <w:rPr>
          <w:rFonts w:ascii="Arial" w:hAnsi="Arial"/>
          <w:b/>
          <w:color w:val="007A78"/>
          <w:sz w:val="26"/>
        </w:rPr>
        <w:t>BLUEPRINT B — TABLE EXTENDS APPROACH</w:t>
      </w:r>
    </w:p>
    <w:p>
      <w:pPr>
        <w:spacing w:before="40" w:after="40"/>
        <w:pBdr>
          <w:bottom w:val="single" w:sz="4" w:space="1" w:color="007A78"/>
        </w:pBdr>
      </w:pPr>
    </w:p>
    <w:p>
      <w:pPr>
        <w:spacing w:before="160"/>
        <w:jc w:val="center"/>
      </w:pPr>
      <w:r>
        <w:rPr>
          <w:rFonts w:ascii="Arial" w:hAnsi="Arial"/>
          <w:color w:val="707070"/>
          <w:sz w:val="20"/>
        </w:rPr>
        <w:t>Overhead Investment Request  ·  May 2026  ·  CONFIDENTIAL — INTERNAL</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04"/>
            <w:shd w:val="clear" w:color="auto" w:fill="007A78"/>
          </w:tcPr>
          <w:p>
            <w:pPr>
              <w:spacing w:before="160" w:after="40"/>
              <w:jc w:val="center"/>
            </w:pPr>
            <w:r>
              <w:rPr>
                <w:rFonts w:ascii="Arial" w:hAnsi="Arial"/>
                <w:b/>
                <w:color w:val="FFFFFF"/>
                <w:sz w:val="28"/>
              </w:rPr>
              <w:t>10–12 Weeks</w:t>
            </w:r>
          </w:p>
          <w:p>
            <w:pPr>
              <w:spacing w:after="160"/>
              <w:jc w:val="center"/>
            </w:pPr>
            <w:r>
              <w:rPr>
                <w:rFonts w:ascii="Arial" w:hAnsi="Arial"/>
                <w:color w:val="C9A02B"/>
                <w:sz w:val="18"/>
              </w:rPr>
              <w:t>Build Duration</w:t>
            </w:r>
          </w:p>
        </w:tc>
        <w:tc>
          <w:tcPr>
            <w:tcW w:type="dxa" w:w="2304"/>
            <w:shd w:val="clear" w:color="auto" w:fill="007A78"/>
          </w:tcPr>
          <w:p>
            <w:pPr>
              <w:spacing w:before="160" w:after="40"/>
              <w:jc w:val="center"/>
            </w:pPr>
            <w:r>
              <w:rPr>
                <w:rFonts w:ascii="Arial" w:hAnsi="Arial"/>
                <w:b/>
                <w:color w:val="FFFFFF"/>
                <w:sz w:val="28"/>
              </w:rPr>
              <w:t>~960 Hours</w:t>
            </w:r>
          </w:p>
          <w:p>
            <w:pPr>
              <w:spacing w:after="160"/>
              <w:jc w:val="center"/>
            </w:pPr>
            <w:r>
              <w:rPr>
                <w:rFonts w:ascii="Arial" w:hAnsi="Arial"/>
                <w:color w:val="C9A02B"/>
                <w:sz w:val="18"/>
              </w:rPr>
              <w:t>Total Investment</w:t>
            </w:r>
          </w:p>
        </w:tc>
        <w:tc>
          <w:tcPr>
            <w:tcW w:type="dxa" w:w="2304"/>
            <w:shd w:val="clear" w:color="auto" w:fill="007A78"/>
          </w:tcPr>
          <w:p>
            <w:pPr>
              <w:spacing w:before="160" w:after="40"/>
              <w:jc w:val="center"/>
            </w:pPr>
            <w:r>
              <w:rPr>
                <w:rFonts w:ascii="Arial" w:hAnsi="Arial"/>
                <w:b/>
                <w:color w:val="FFFFFF"/>
                <w:sz w:val="28"/>
              </w:rPr>
              <w:t>5 Roles</w:t>
            </w:r>
          </w:p>
          <w:p>
            <w:pPr>
              <w:spacing w:after="160"/>
              <w:jc w:val="center"/>
            </w:pPr>
            <w:r>
              <w:rPr>
                <w:rFonts w:ascii="Arial" w:hAnsi="Arial"/>
                <w:color w:val="C9A02B"/>
                <w:sz w:val="18"/>
              </w:rPr>
              <w:t>Team Required</w:t>
            </w:r>
          </w:p>
        </w:tc>
        <w:tc>
          <w:tcPr>
            <w:tcW w:type="dxa" w:w="2304"/>
            <w:shd w:val="clear" w:color="auto" w:fill="007A78"/>
          </w:tcPr>
          <w:p>
            <w:pPr>
              <w:spacing w:before="160" w:after="40"/>
              <w:jc w:val="center"/>
            </w:pPr>
            <w:r>
              <w:rPr>
                <w:rFonts w:ascii="Arial" w:hAnsi="Arial"/>
                <w:b/>
                <w:color w:val="FFFFFF"/>
                <w:sz w:val="28"/>
              </w:rPr>
              <w:t>Unlimited</w:t>
            </w:r>
          </w:p>
          <w:p>
            <w:pPr>
              <w:spacing w:after="160"/>
              <w:jc w:val="center"/>
            </w:pPr>
            <w:r>
              <w:rPr>
                <w:rFonts w:ascii="Arial" w:hAnsi="Arial"/>
                <w:color w:val="C9A02B"/>
                <w:sz w:val="18"/>
              </w:rPr>
              <w:t>Engagements Served</w:t>
            </w:r>
          </w:p>
        </w:tc>
      </w:tr>
    </w:tbl>
    <w:p/>
    <w:p>
      <w:r>
        <w:br w:type="page"/>
      </w:r>
    </w:p>
    <w:p>
      <w:pPr>
        <w:spacing w:before="320" w:after="100"/>
        <w:pBdr>
          <w:bottom w:val="single" w:sz="6" w:space="1" w:color="007A78"/>
        </w:pBdr>
      </w:pPr>
      <w:r>
        <w:rPr>
          <w:rFonts w:ascii="Arial" w:hAnsi="Arial"/>
          <w:b/>
          <w:color w:val="007A78"/>
          <w:sz w:val="26"/>
        </w:rPr>
        <w:t>1. EXECUTIVE SUMMARY</w:t>
      </w:r>
    </w:p>
    <w:p>
      <w:pPr>
        <w:spacing w:before="0" w:after="160"/>
        <w:jc w:val="left"/>
      </w:pPr>
      <w:r>
        <w:rPr>
          <w:rFonts w:ascii="Arial" w:hAnsi="Arial"/>
          <w:b w:val="0"/>
          <w:i w:val="0"/>
          <w:color w:val="1F1F1F"/>
          <w:sz w:val="21"/>
        </w:rPr>
        <w:t>Everforth is requesting internal overhead investment to build the ECS Delivery Intelligence Platform — a system that replaces manual spreadsheets and static status documents with a living, record-driven delivery management experience inside the customer's ServiceNow instance.</w:t>
      </w:r>
    </w:p>
    <w:p>
      <w:pPr>
        <w:spacing w:before="0" w:after="160"/>
        <w:jc w:val="left"/>
      </w:pPr>
      <w:r>
        <w:rPr>
          <w:rFonts w:ascii="Arial" w:hAnsi="Arial"/>
          <w:b w:val="0"/>
          <w:i w:val="0"/>
          <w:color w:val="1F1F1F"/>
          <w:sz w:val="21"/>
        </w:rPr>
        <w:t>Blueprint B is the table-extends approach. It achieves the same outcome as Blueprint A — role-based portal, real-time health scoring, Agile and SPM integration, customer transparency — by extending ServiceNow's existing native tables rather than building a full custom application. It requires fewer hours, a less specialized developer, and no App Engine SKU on the customer instance.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00" w:after="100"/>
              <w:ind w:left="144"/>
            </w:pPr>
            <w:r>
              <w:rPr>
                <w:rFonts w:ascii="Arial" w:hAnsi="Arial"/>
                <w:b/>
                <w:color w:val="007A78"/>
                <w:sz w:val="20"/>
              </w:rPr>
              <w:t xml:space="preserve">The ask:  </w:t>
            </w:r>
            <w:r>
              <w:rPr>
                <w:rFonts w:ascii="Arial" w:hAnsi="Arial"/>
                <w:color w:val="1F1F1F"/>
                <w:sz w:val="20"/>
              </w:rPr>
              <w:t>Approve ~960 hours of internal overhead across 5 roles over 10–12 weeks, starting June 2026. Blueprint B delivers the same customer-facing platform as Blueprint A, faster and at lower cost, with the option to rebuild as a full custom app (Blueprint A) once the design is proven in the field.</w:t>
            </w:r>
          </w:p>
        </w:tc>
      </w:tr>
    </w:tbl>
    <w:p>
      <w:pPr>
        <w:spacing w:after="80"/>
      </w:pPr>
    </w:p>
    <w:p>
      <w:pPr>
        <w:spacing w:before="320" w:after="100"/>
        <w:pBdr>
          <w:bottom w:val="single" w:sz="6" w:space="1" w:color="007A78"/>
        </w:pBdr>
      </w:pPr>
      <w:r>
        <w:rPr>
          <w:rFonts w:ascii="Arial" w:hAnsi="Arial"/>
          <w:b/>
          <w:color w:val="007A78"/>
          <w:sz w:val="26"/>
        </w:rPr>
        <w:t>2. THE OPPORTUNITY</w:t>
      </w:r>
    </w:p>
    <w:p>
      <w:pPr>
        <w:spacing w:before="0" w:after="160"/>
        <w:jc w:val="left"/>
      </w:pPr>
      <w:r>
        <w:rPr>
          <w:rFonts w:ascii="Arial" w:hAnsi="Arial"/>
          <w:b w:val="0"/>
          <w:i w:val="0"/>
          <w:color w:val="1F1F1F"/>
          <w:sz w:val="21"/>
        </w:rPr>
        <w:t>Our delivery process runs on manually maintained artifacts that are always slightly stale and require hours of upkeep every week. Blueprint B replaces that entirely — turning every delivery artifact into a live record derived from real work in the platform.</w:t>
      </w:r>
    </w:p>
    <w:p>
      <w:pPr>
        <w:spacing w:before="200" w:after="60"/>
      </w:pPr>
      <w:r>
        <w:rPr>
          <w:rFonts w:ascii="Arial" w:hAnsi="Arial"/>
          <w:b/>
          <w:color w:val="007A78"/>
          <w:sz w:val="22"/>
        </w:rPr>
        <w:t>Blueprint B's Core Advantage</w:t>
      </w:r>
    </w:p>
    <w:p>
      <w:pPr>
        <w:spacing w:before="0" w:after="120"/>
        <w:jc w:val="left"/>
      </w:pPr>
      <w:r>
        <w:rPr>
          <w:rFonts w:ascii="Arial" w:hAnsi="Arial"/>
          <w:b w:val="0"/>
          <w:i w:val="0"/>
          <w:color w:val="1F1F1F"/>
          <w:sz w:val="21"/>
        </w:rPr>
        <w:t>Blueprint B reaches the same destination as Blueprint A — live portal, health score, replaced spreadsheets — but does it 6–8 weeks sooner and with ~440 fewer hours of investment. By working within ServiceNow's existing native table structure, we avoid the complexity of custom app certification while still delivering a fully functional platform. The first real engagement can be running on the platform by mid-August 2026.</w:t>
      </w:r>
    </w:p>
    <w:p>
      <w:pPr>
        <w:spacing w:before="200" w:after="60"/>
      </w:pPr>
      <w:r>
        <w:rPr>
          <w:rFonts w:ascii="Arial" w:hAnsi="Arial"/>
          <w:b/>
          <w:color w:val="007A78"/>
          <w:sz w:val="22"/>
        </w:rPr>
        <w:t>The Proof-of-Concept Value</w:t>
      </w:r>
    </w:p>
    <w:p>
      <w:pPr>
        <w:spacing w:before="0" w:after="160"/>
        <w:jc w:val="left"/>
      </w:pPr>
      <w:r>
        <w:rPr>
          <w:rFonts w:ascii="Arial" w:hAnsi="Arial"/>
          <w:b w:val="0"/>
          <w:i w:val="0"/>
          <w:color w:val="1F1F1F"/>
          <w:sz w:val="21"/>
        </w:rPr>
        <w:t>Blueprint B serves as the proof-of-concept for the platform design before committing to a larger Blueprint A investment. If the portal design or health score logic needs significant changes after real-world use, it is far cheaper to discover that on a table-extends implementation than on a fully built custom application.</w:t>
      </w:r>
    </w:p>
    <w:p>
      <w:r>
        <w:br w:type="page"/>
      </w:r>
    </w:p>
    <w:p>
      <w:pPr>
        <w:spacing w:before="320" w:after="100"/>
        <w:pBdr>
          <w:bottom w:val="single" w:sz="6" w:space="1" w:color="007A78"/>
        </w:pBdr>
      </w:pPr>
      <w:r>
        <w:rPr>
          <w:rFonts w:ascii="Arial" w:hAnsi="Arial"/>
          <w:b/>
          <w:color w:val="007A78"/>
          <w:sz w:val="26"/>
        </w:rPr>
        <w:t>3. INVESTMENT REQUIRED — HOURS BY ROLE</w:t>
      </w:r>
    </w:p>
    <w:p>
      <w:pPr>
        <w:spacing w:before="0" w:after="160"/>
        <w:jc w:val="left"/>
      </w:pPr>
      <w:r>
        <w:rPr>
          <w:rFonts w:ascii="Arial" w:hAnsi="Arial"/>
          <w:b w:val="0"/>
          <w:i w:val="0"/>
          <w:color w:val="1F1F1F"/>
          <w:sz w:val="21"/>
        </w:rPr>
        <w:t>The following table represents the total internal overhead hours for Blueprint B. Blueprint B requires a configurator-level developer rather than a full Studio app developer, which may also reduce the per-hour cost of the primary resource.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70"/>
        <w:gridCol w:w="1170"/>
        <w:gridCol w:w="1170"/>
        <w:gridCol w:w="1170"/>
        <w:gridCol w:w="1170"/>
        <w:gridCol w:w="1170"/>
        <w:gridCol w:w="1170"/>
        <w:gridCol w:w="1170"/>
      </w:tblGrid>
      <w:tr>
        <w:tc>
          <w:tcPr>
            <w:tcW w:type="dxa" w:w="2736"/>
            <w:shd w:val="clear" w:color="auto" w:fill="007A78"/>
          </w:tcPr>
          <w:p>
            <w:pPr>
              <w:spacing w:before="80" w:after="80"/>
              <w:ind w:left="72"/>
            </w:pPr>
            <w:r>
              <w:rPr>
                <w:rFonts w:ascii="Arial" w:hAnsi="Arial"/>
                <w:b/>
                <w:color w:val="FFFFFF"/>
                <w:sz w:val="20"/>
              </w:rPr>
              <w:t>Role</w:t>
            </w:r>
          </w:p>
        </w:tc>
        <w:tc>
          <w:tcPr>
            <w:tcW w:type="dxa" w:w="936"/>
            <w:shd w:val="clear" w:color="auto" w:fill="007A78"/>
          </w:tcPr>
          <w:p>
            <w:pPr>
              <w:spacing w:before="80" w:after="80"/>
              <w:ind w:left="72"/>
            </w:pPr>
            <w:r>
              <w:rPr>
                <w:rFonts w:ascii="Arial" w:hAnsi="Arial"/>
                <w:b/>
                <w:color w:val="FFFFFF"/>
                <w:sz w:val="20"/>
              </w:rPr>
              <w:t>Ph 0</w:t>
              <w:br/>
              <w:t>Pre-Build</w:t>
            </w:r>
          </w:p>
        </w:tc>
        <w:tc>
          <w:tcPr>
            <w:tcW w:type="dxa" w:w="1080"/>
            <w:shd w:val="clear" w:color="auto" w:fill="007A78"/>
          </w:tcPr>
          <w:p>
            <w:pPr>
              <w:spacing w:before="80" w:after="80"/>
              <w:ind w:left="72"/>
            </w:pPr>
            <w:r>
              <w:rPr>
                <w:rFonts w:ascii="Arial" w:hAnsi="Arial"/>
                <w:b/>
                <w:color w:val="FFFFFF"/>
                <w:sz w:val="20"/>
              </w:rPr>
              <w:t>Ph 1</w:t>
              <w:br/>
              <w:t>Extensions</w:t>
              <w:br/>
              <w:t>&amp; Roles</w:t>
            </w:r>
          </w:p>
        </w:tc>
        <w:tc>
          <w:tcPr>
            <w:tcW w:type="dxa" w:w="1080"/>
            <w:shd w:val="clear" w:color="auto" w:fill="007A78"/>
          </w:tcPr>
          <w:p>
            <w:pPr>
              <w:spacing w:before="80" w:after="80"/>
              <w:ind w:left="72"/>
            </w:pPr>
            <w:r>
              <w:rPr>
                <w:rFonts w:ascii="Arial" w:hAnsi="Arial"/>
                <w:b/>
                <w:color w:val="FFFFFF"/>
                <w:sz w:val="20"/>
              </w:rPr>
              <w:t>Ph 2</w:t>
              <w:br/>
              <w:t>Portal &amp;</w:t>
              <w:br/>
              <w:t>Health</w:t>
            </w:r>
          </w:p>
        </w:tc>
        <w:tc>
          <w:tcPr>
            <w:tcW w:type="dxa" w:w="1080"/>
            <w:shd w:val="clear" w:color="auto" w:fill="007A78"/>
          </w:tcPr>
          <w:p>
            <w:pPr>
              <w:spacing w:before="80" w:after="80"/>
              <w:ind w:left="72"/>
            </w:pPr>
            <w:r>
              <w:rPr>
                <w:rFonts w:ascii="Arial" w:hAnsi="Arial"/>
                <w:b/>
                <w:color w:val="FFFFFF"/>
                <w:sz w:val="20"/>
              </w:rPr>
              <w:t>Ph 3</w:t>
              <w:br/>
              <w:t>Integrations</w:t>
              <w:br/>
              <w:t>&amp; Content</w:t>
            </w:r>
          </w:p>
        </w:tc>
        <w:tc>
          <w:tcPr>
            <w:tcW w:type="dxa" w:w="1080"/>
            <w:shd w:val="clear" w:color="auto" w:fill="007A78"/>
          </w:tcPr>
          <w:p>
            <w:pPr>
              <w:spacing w:before="80" w:after="80"/>
              <w:ind w:left="72"/>
            </w:pPr>
            <w:r>
              <w:rPr>
                <w:rFonts w:ascii="Arial" w:hAnsi="Arial"/>
                <w:b/>
                <w:color w:val="FFFFFF"/>
                <w:sz w:val="20"/>
              </w:rPr>
              <w:t>Ph 4</w:t>
              <w:br/>
              <w:t>Hardening</w:t>
              <w:br/>
              <w:t>&amp; Release</w:t>
            </w:r>
          </w:p>
        </w:tc>
        <w:tc>
          <w:tcPr>
            <w:tcW w:type="dxa" w:w="1080"/>
            <w:shd w:val="clear" w:color="auto" w:fill="007A78"/>
          </w:tcPr>
          <w:p>
            <w:pPr>
              <w:spacing w:before="80" w:after="80"/>
              <w:ind w:left="72"/>
            </w:pPr>
            <w:r>
              <w:rPr>
                <w:rFonts w:ascii="Arial" w:hAnsi="Arial"/>
                <w:b/>
                <w:color w:val="FFFFFF"/>
                <w:sz w:val="20"/>
              </w:rPr>
              <w:t>TOTAL</w:t>
              <w:br/>
              <w:t>Hours</w:t>
            </w:r>
          </w:p>
        </w:tc>
        <w:tc>
          <w:tcPr>
            <w:tcW w:type="dxa" w:w="936"/>
            <w:shd w:val="clear" w:color="auto" w:fill="007A78"/>
          </w:tcPr>
          <w:p>
            <w:pPr>
              <w:spacing w:before="80" w:after="80"/>
              <w:ind w:left="72"/>
            </w:pPr>
            <w:r>
              <w:rPr>
                <w:rFonts w:ascii="Arial" w:hAnsi="Arial"/>
                <w:b/>
                <w:color w:val="FFFFFF"/>
                <w:sz w:val="20"/>
              </w:rPr>
              <w:t>FTE</w:t>
              <w:br/>
              <w:t>Weeks</w:t>
            </w:r>
          </w:p>
        </w:tc>
      </w:tr>
      <w:tr>
        <w:tc>
          <w:tcPr>
            <w:tcW w:type="dxa" w:w="2736"/>
            <w:shd w:val="clear" w:color="auto" w:fill="F2F2F2"/>
          </w:tcPr>
          <w:p>
            <w:pPr>
              <w:spacing w:before="60" w:after="60"/>
              <w:ind w:left="72"/>
            </w:pPr>
            <w:r>
              <w:rPr>
                <w:rFonts w:ascii="Arial" w:hAnsi="Arial"/>
                <w:color w:val="1F1F1F"/>
                <w:sz w:val="19"/>
              </w:rPr>
              <w:t>Lead Developer / Configurator</w:t>
            </w:r>
          </w:p>
        </w:tc>
        <w:tc>
          <w:tcPr>
            <w:tcW w:type="dxa" w:w="936"/>
            <w:shd w:val="clear" w:color="auto" w:fill="F2F2F2"/>
          </w:tcPr>
          <w:p>
            <w:pPr>
              <w:spacing w:before="60" w:after="60"/>
              <w:ind w:left="72"/>
            </w:pPr>
            <w:r>
              <w:rPr>
                <w:rFonts w:ascii="Arial" w:hAnsi="Arial"/>
                <w:color w:val="1F1F1F"/>
                <w:sz w:val="19"/>
              </w:rPr>
              <w:t>8</w:t>
            </w:r>
          </w:p>
        </w:tc>
        <w:tc>
          <w:tcPr>
            <w:tcW w:type="dxa" w:w="1080"/>
            <w:shd w:val="clear" w:color="auto" w:fill="F2F2F2"/>
          </w:tcPr>
          <w:p>
            <w:pPr>
              <w:spacing w:before="60" w:after="60"/>
              <w:ind w:left="72"/>
            </w:pPr>
            <w:r>
              <w:rPr>
                <w:rFonts w:ascii="Arial" w:hAnsi="Arial"/>
                <w:color w:val="1F1F1F"/>
                <w:sz w:val="19"/>
              </w:rPr>
              <w:t>120</w:t>
            </w:r>
          </w:p>
        </w:tc>
        <w:tc>
          <w:tcPr>
            <w:tcW w:type="dxa" w:w="1080"/>
            <w:shd w:val="clear" w:color="auto" w:fill="F2F2F2"/>
          </w:tcPr>
          <w:p>
            <w:pPr>
              <w:spacing w:before="60" w:after="60"/>
              <w:ind w:left="72"/>
            </w:pPr>
            <w:r>
              <w:rPr>
                <w:rFonts w:ascii="Arial" w:hAnsi="Arial"/>
                <w:color w:val="1F1F1F"/>
                <w:sz w:val="19"/>
              </w:rPr>
              <w:t>160</w:t>
            </w:r>
          </w:p>
        </w:tc>
        <w:tc>
          <w:tcPr>
            <w:tcW w:type="dxa" w:w="1080"/>
            <w:shd w:val="clear" w:color="auto" w:fill="F2F2F2"/>
          </w:tcPr>
          <w:p>
            <w:pPr>
              <w:spacing w:before="60" w:after="60"/>
              <w:ind w:left="72"/>
            </w:pPr>
            <w:r>
              <w:rPr>
                <w:rFonts w:ascii="Arial" w:hAnsi="Arial"/>
                <w:color w:val="1F1F1F"/>
                <w:sz w:val="19"/>
              </w:rPr>
              <w:t>120</w:t>
            </w:r>
          </w:p>
        </w:tc>
        <w:tc>
          <w:tcPr>
            <w:tcW w:type="dxa" w:w="1080"/>
            <w:shd w:val="clear" w:color="auto" w:fill="F2F2F2"/>
          </w:tcPr>
          <w:p>
            <w:pPr>
              <w:spacing w:before="60" w:after="60"/>
              <w:ind w:left="72"/>
            </w:pPr>
            <w:r>
              <w:rPr>
                <w:rFonts w:ascii="Arial" w:hAnsi="Arial"/>
                <w:color w:val="1F1F1F"/>
                <w:sz w:val="19"/>
              </w:rPr>
              <w:t>60</w:t>
            </w:r>
          </w:p>
        </w:tc>
        <w:tc>
          <w:tcPr>
            <w:tcW w:type="dxa" w:w="1080"/>
            <w:shd w:val="clear" w:color="auto" w:fill="F2F2F2"/>
          </w:tcPr>
          <w:p>
            <w:pPr>
              <w:spacing w:before="60" w:after="60"/>
              <w:ind w:left="72"/>
            </w:pPr>
            <w:r>
              <w:rPr>
                <w:rFonts w:ascii="Arial" w:hAnsi="Arial"/>
                <w:color w:val="1F1F1F"/>
                <w:sz w:val="19"/>
              </w:rPr>
              <w:t>468</w:t>
            </w:r>
          </w:p>
        </w:tc>
        <w:tc>
          <w:tcPr>
            <w:tcW w:type="dxa" w:w="936"/>
            <w:shd w:val="clear" w:color="auto" w:fill="F2F2F2"/>
          </w:tcPr>
          <w:p>
            <w:pPr>
              <w:spacing w:before="60" w:after="60"/>
              <w:ind w:left="72"/>
            </w:pPr>
            <w:r>
              <w:rPr>
                <w:rFonts w:ascii="Arial" w:hAnsi="Arial"/>
                <w:color w:val="1F1F1F"/>
                <w:sz w:val="19"/>
              </w:rPr>
              <w:t>11.7</w:t>
            </w:r>
          </w:p>
        </w:tc>
      </w:tr>
      <w:tr>
        <w:tc>
          <w:tcPr>
            <w:tcW w:type="dxa" w:w="2736"/>
            <w:shd w:val="clear" w:color="auto" w:fill="FFFFFF"/>
          </w:tcPr>
          <w:p>
            <w:pPr>
              <w:spacing w:before="60" w:after="60"/>
              <w:ind w:left="72"/>
            </w:pPr>
            <w:r>
              <w:rPr>
                <w:rFonts w:ascii="Arial" w:hAnsi="Arial"/>
                <w:color w:val="1F1F1F"/>
                <w:sz w:val="19"/>
              </w:rPr>
              <w:t>Delivery Manager</w:t>
            </w:r>
          </w:p>
        </w:tc>
        <w:tc>
          <w:tcPr>
            <w:tcW w:type="dxa" w:w="936"/>
            <w:shd w:val="clear" w:color="auto" w:fill="FFFFFF"/>
          </w:tcPr>
          <w:p>
            <w:pPr>
              <w:spacing w:before="60" w:after="60"/>
              <w:ind w:left="72"/>
            </w:pPr>
            <w:r>
              <w:rPr>
                <w:rFonts w:ascii="Arial" w:hAnsi="Arial"/>
                <w:color w:val="1F1F1F"/>
                <w:sz w:val="19"/>
              </w:rPr>
              <w:t>8</w:t>
            </w:r>
          </w:p>
        </w:tc>
        <w:tc>
          <w:tcPr>
            <w:tcW w:type="dxa" w:w="1080"/>
            <w:shd w:val="clear" w:color="auto" w:fill="FFFFFF"/>
          </w:tcPr>
          <w:p>
            <w:pPr>
              <w:spacing w:before="60" w:after="60"/>
              <w:ind w:left="72"/>
            </w:pPr>
            <w:r>
              <w:rPr>
                <w:rFonts w:ascii="Arial" w:hAnsi="Arial"/>
                <w:color w:val="1F1F1F"/>
                <w:sz w:val="19"/>
              </w:rPr>
              <w:t>24</w:t>
            </w:r>
          </w:p>
        </w:tc>
        <w:tc>
          <w:tcPr>
            <w:tcW w:type="dxa" w:w="1080"/>
            <w:shd w:val="clear" w:color="auto" w:fill="FFFFFF"/>
          </w:tcPr>
          <w:p>
            <w:pPr>
              <w:spacing w:before="60" w:after="60"/>
              <w:ind w:left="72"/>
            </w:pPr>
            <w:r>
              <w:rPr>
                <w:rFonts w:ascii="Arial" w:hAnsi="Arial"/>
                <w:color w:val="1F1F1F"/>
                <w:sz w:val="19"/>
              </w:rPr>
              <w:t>32</w:t>
            </w:r>
          </w:p>
        </w:tc>
        <w:tc>
          <w:tcPr>
            <w:tcW w:type="dxa" w:w="1080"/>
            <w:shd w:val="clear" w:color="auto" w:fill="FFFFFF"/>
          </w:tcPr>
          <w:p>
            <w:pPr>
              <w:spacing w:before="60" w:after="60"/>
              <w:ind w:left="72"/>
            </w:pPr>
            <w:r>
              <w:rPr>
                <w:rFonts w:ascii="Arial" w:hAnsi="Arial"/>
                <w:color w:val="1F1F1F"/>
                <w:sz w:val="19"/>
              </w:rPr>
              <w:t>24</w:t>
            </w:r>
          </w:p>
        </w:tc>
        <w:tc>
          <w:tcPr>
            <w:tcW w:type="dxa" w:w="1080"/>
            <w:shd w:val="clear" w:color="auto" w:fill="FFFFFF"/>
          </w:tcPr>
          <w:p>
            <w:pPr>
              <w:spacing w:before="60" w:after="60"/>
              <w:ind w:left="72"/>
            </w:pPr>
            <w:r>
              <w:rPr>
                <w:rFonts w:ascii="Arial" w:hAnsi="Arial"/>
                <w:color w:val="1F1F1F"/>
                <w:sz w:val="19"/>
              </w:rPr>
              <w:t>90</w:t>
            </w:r>
          </w:p>
        </w:tc>
        <w:tc>
          <w:tcPr>
            <w:tcW w:type="dxa" w:w="1080"/>
            <w:shd w:val="clear" w:color="auto" w:fill="FFFFFF"/>
          </w:tcPr>
          <w:p>
            <w:pPr>
              <w:spacing w:before="60" w:after="60"/>
              <w:ind w:left="72"/>
            </w:pPr>
            <w:r>
              <w:rPr>
                <w:rFonts w:ascii="Arial" w:hAnsi="Arial"/>
                <w:color w:val="1F1F1F"/>
                <w:sz w:val="19"/>
              </w:rPr>
              <w:t>178</w:t>
            </w:r>
          </w:p>
        </w:tc>
        <w:tc>
          <w:tcPr>
            <w:tcW w:type="dxa" w:w="936"/>
            <w:shd w:val="clear" w:color="auto" w:fill="FFFFFF"/>
          </w:tcPr>
          <w:p>
            <w:pPr>
              <w:spacing w:before="60" w:after="60"/>
              <w:ind w:left="72"/>
            </w:pPr>
            <w:r>
              <w:rPr>
                <w:rFonts w:ascii="Arial" w:hAnsi="Arial"/>
                <w:color w:val="1F1F1F"/>
                <w:sz w:val="19"/>
              </w:rPr>
              <w:t>4.5</w:t>
            </w:r>
          </w:p>
        </w:tc>
      </w:tr>
      <w:tr>
        <w:tc>
          <w:tcPr>
            <w:tcW w:type="dxa" w:w="2736"/>
            <w:shd w:val="clear" w:color="auto" w:fill="F2F2F2"/>
          </w:tcPr>
          <w:p>
            <w:pPr>
              <w:spacing w:before="60" w:after="60"/>
              <w:ind w:left="72"/>
            </w:pPr>
            <w:r>
              <w:rPr>
                <w:rFonts w:ascii="Arial" w:hAnsi="Arial"/>
                <w:color w:val="1F1F1F"/>
                <w:sz w:val="19"/>
              </w:rPr>
              <w:t>Content / Methodology Owner</w:t>
            </w:r>
          </w:p>
        </w:tc>
        <w:tc>
          <w:tcPr>
            <w:tcW w:type="dxa" w:w="936"/>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0</w:t>
            </w:r>
          </w:p>
        </w:tc>
        <w:tc>
          <w:tcPr>
            <w:tcW w:type="dxa" w:w="1080"/>
            <w:shd w:val="clear" w:color="auto" w:fill="F2F2F2"/>
          </w:tcPr>
          <w:p>
            <w:pPr>
              <w:spacing w:before="60" w:after="60"/>
              <w:ind w:left="72"/>
            </w:pPr>
            <w:r>
              <w:rPr>
                <w:rFonts w:ascii="Arial" w:hAnsi="Arial"/>
                <w:color w:val="1F1F1F"/>
                <w:sz w:val="19"/>
              </w:rPr>
              <w:t>0</w:t>
            </w:r>
          </w:p>
        </w:tc>
        <w:tc>
          <w:tcPr>
            <w:tcW w:type="dxa" w:w="1080"/>
            <w:shd w:val="clear" w:color="auto" w:fill="F2F2F2"/>
          </w:tcPr>
          <w:p>
            <w:pPr>
              <w:spacing w:before="60" w:after="60"/>
              <w:ind w:left="72"/>
            </w:pPr>
            <w:r>
              <w:rPr>
                <w:rFonts w:ascii="Arial" w:hAnsi="Arial"/>
                <w:color w:val="1F1F1F"/>
                <w:sz w:val="19"/>
              </w:rPr>
              <w:t>64</w:t>
            </w:r>
          </w:p>
        </w:tc>
        <w:tc>
          <w:tcPr>
            <w:tcW w:type="dxa" w:w="1080"/>
            <w:shd w:val="clear" w:color="auto" w:fill="F2F2F2"/>
          </w:tcPr>
          <w:p>
            <w:pPr>
              <w:spacing w:before="60" w:after="60"/>
              <w:ind w:left="72"/>
            </w:pPr>
            <w:r>
              <w:rPr>
                <w:rFonts w:ascii="Arial" w:hAnsi="Arial"/>
                <w:color w:val="1F1F1F"/>
                <w:sz w:val="19"/>
              </w:rPr>
              <w:t>88</w:t>
            </w:r>
          </w:p>
        </w:tc>
        <w:tc>
          <w:tcPr>
            <w:tcW w:type="dxa" w:w="1080"/>
            <w:shd w:val="clear" w:color="auto" w:fill="F2F2F2"/>
          </w:tcPr>
          <w:p>
            <w:pPr>
              <w:spacing w:before="60" w:after="60"/>
              <w:ind w:left="72"/>
            </w:pPr>
            <w:r>
              <w:rPr>
                <w:rFonts w:ascii="Arial" w:hAnsi="Arial"/>
                <w:color w:val="1F1F1F"/>
                <w:sz w:val="19"/>
              </w:rPr>
              <w:t>156</w:t>
            </w:r>
          </w:p>
        </w:tc>
        <w:tc>
          <w:tcPr>
            <w:tcW w:type="dxa" w:w="936"/>
            <w:shd w:val="clear" w:color="auto" w:fill="F2F2F2"/>
          </w:tcPr>
          <w:p>
            <w:pPr>
              <w:spacing w:before="60" w:after="60"/>
              <w:ind w:left="72"/>
            </w:pPr>
            <w:r>
              <w:rPr>
                <w:rFonts w:ascii="Arial" w:hAnsi="Arial"/>
                <w:color w:val="1F1F1F"/>
                <w:sz w:val="19"/>
              </w:rPr>
              <w:t>3.9</w:t>
            </w:r>
          </w:p>
        </w:tc>
      </w:tr>
      <w:tr>
        <w:tc>
          <w:tcPr>
            <w:tcW w:type="dxa" w:w="2736"/>
            <w:shd w:val="clear" w:color="auto" w:fill="FFFFFF"/>
          </w:tcPr>
          <w:p>
            <w:pPr>
              <w:spacing w:before="60" w:after="60"/>
              <w:ind w:left="72"/>
            </w:pPr>
            <w:r>
              <w:rPr>
                <w:rFonts w:ascii="Arial" w:hAnsi="Arial"/>
                <w:color w:val="1F1F1F"/>
                <w:sz w:val="19"/>
              </w:rPr>
              <w:t>QA / Senior Developer (peer QA)</w:t>
            </w:r>
          </w:p>
        </w:tc>
        <w:tc>
          <w:tcPr>
            <w:tcW w:type="dxa" w:w="936"/>
            <w:shd w:val="clear" w:color="auto" w:fill="FFFFFF"/>
          </w:tcPr>
          <w:p>
            <w:pPr>
              <w:spacing w:before="60" w:after="60"/>
              <w:ind w:left="72"/>
            </w:pPr>
            <w:r>
              <w:rPr>
                <w:rFonts w:ascii="Arial" w:hAnsi="Arial"/>
                <w:color w:val="1F1F1F"/>
                <w:sz w:val="19"/>
              </w:rPr>
              <w:t>0</w:t>
            </w:r>
          </w:p>
        </w:tc>
        <w:tc>
          <w:tcPr>
            <w:tcW w:type="dxa" w:w="1080"/>
            <w:shd w:val="clear" w:color="auto" w:fill="FFFFFF"/>
          </w:tcPr>
          <w:p>
            <w:pPr>
              <w:spacing w:before="60" w:after="60"/>
              <w:ind w:left="72"/>
            </w:pPr>
            <w:r>
              <w:rPr>
                <w:rFonts w:ascii="Arial" w:hAnsi="Arial"/>
                <w:color w:val="1F1F1F"/>
                <w:sz w:val="19"/>
              </w:rPr>
              <w:t>0</w:t>
            </w:r>
          </w:p>
        </w:tc>
        <w:tc>
          <w:tcPr>
            <w:tcW w:type="dxa" w:w="1080"/>
            <w:shd w:val="clear" w:color="auto" w:fill="FFFFFF"/>
          </w:tcPr>
          <w:p>
            <w:pPr>
              <w:spacing w:before="60" w:after="60"/>
              <w:ind w:left="72"/>
            </w:pPr>
            <w:r>
              <w:rPr>
                <w:rFonts w:ascii="Arial" w:hAnsi="Arial"/>
                <w:color w:val="1F1F1F"/>
                <w:sz w:val="19"/>
              </w:rPr>
              <w:t>40</w:t>
            </w:r>
          </w:p>
        </w:tc>
        <w:tc>
          <w:tcPr>
            <w:tcW w:type="dxa" w:w="1080"/>
            <w:shd w:val="clear" w:color="auto" w:fill="FFFFFF"/>
          </w:tcPr>
          <w:p>
            <w:pPr>
              <w:spacing w:before="60" w:after="60"/>
              <w:ind w:left="72"/>
            </w:pPr>
            <w:r>
              <w:rPr>
                <w:rFonts w:ascii="Arial" w:hAnsi="Arial"/>
                <w:color w:val="1F1F1F"/>
                <w:sz w:val="19"/>
              </w:rPr>
              <w:t>48</w:t>
            </w:r>
          </w:p>
        </w:tc>
        <w:tc>
          <w:tcPr>
            <w:tcW w:type="dxa" w:w="1080"/>
            <w:shd w:val="clear" w:color="auto" w:fill="FFFFFF"/>
          </w:tcPr>
          <w:p>
            <w:pPr>
              <w:spacing w:before="60" w:after="60"/>
              <w:ind w:left="72"/>
            </w:pPr>
            <w:r>
              <w:rPr>
                <w:rFonts w:ascii="Arial" w:hAnsi="Arial"/>
                <w:color w:val="1F1F1F"/>
                <w:sz w:val="19"/>
              </w:rPr>
              <w:t>60</w:t>
            </w:r>
          </w:p>
        </w:tc>
        <w:tc>
          <w:tcPr>
            <w:tcW w:type="dxa" w:w="1080"/>
            <w:shd w:val="clear" w:color="auto" w:fill="FFFFFF"/>
          </w:tcPr>
          <w:p>
            <w:pPr>
              <w:spacing w:before="60" w:after="60"/>
              <w:ind w:left="72"/>
            </w:pPr>
            <w:r>
              <w:rPr>
                <w:rFonts w:ascii="Arial" w:hAnsi="Arial"/>
                <w:color w:val="1F1F1F"/>
                <w:sz w:val="19"/>
              </w:rPr>
              <w:t>148</w:t>
            </w:r>
          </w:p>
        </w:tc>
        <w:tc>
          <w:tcPr>
            <w:tcW w:type="dxa" w:w="936"/>
            <w:shd w:val="clear" w:color="auto" w:fill="FFFFFF"/>
          </w:tcPr>
          <w:p>
            <w:pPr>
              <w:spacing w:before="60" w:after="60"/>
              <w:ind w:left="72"/>
            </w:pPr>
            <w:r>
              <w:rPr>
                <w:rFonts w:ascii="Arial" w:hAnsi="Arial"/>
                <w:color w:val="1F1F1F"/>
                <w:sz w:val="19"/>
              </w:rPr>
              <w:t>3.7</w:t>
            </w:r>
          </w:p>
        </w:tc>
      </w:tr>
      <w:tr>
        <w:tc>
          <w:tcPr>
            <w:tcW w:type="dxa" w:w="2736"/>
            <w:shd w:val="clear" w:color="auto" w:fill="F2F2F2"/>
          </w:tcPr>
          <w:p>
            <w:pPr>
              <w:spacing w:before="60" w:after="60"/>
              <w:ind w:left="72"/>
            </w:pPr>
            <w:r>
              <w:rPr>
                <w:rFonts w:ascii="Arial" w:hAnsi="Arial"/>
                <w:color w:val="1F1F1F"/>
                <w:sz w:val="19"/>
              </w:rPr>
              <w:t>Practice Leader (reviews only)</w:t>
            </w:r>
          </w:p>
        </w:tc>
        <w:tc>
          <w:tcPr>
            <w:tcW w:type="dxa" w:w="936"/>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4</w:t>
            </w:r>
          </w:p>
        </w:tc>
        <w:tc>
          <w:tcPr>
            <w:tcW w:type="dxa" w:w="1080"/>
            <w:shd w:val="clear" w:color="auto" w:fill="F2F2F2"/>
          </w:tcPr>
          <w:p>
            <w:pPr>
              <w:spacing w:before="60" w:after="60"/>
              <w:ind w:left="72"/>
            </w:pPr>
            <w:r>
              <w:rPr>
                <w:rFonts w:ascii="Arial" w:hAnsi="Arial"/>
                <w:color w:val="1F1F1F"/>
                <w:sz w:val="19"/>
              </w:rPr>
              <w:t>20</w:t>
            </w:r>
          </w:p>
        </w:tc>
        <w:tc>
          <w:tcPr>
            <w:tcW w:type="dxa" w:w="936"/>
            <w:shd w:val="clear" w:color="auto" w:fill="F2F2F2"/>
          </w:tcPr>
          <w:p>
            <w:pPr>
              <w:spacing w:before="60" w:after="60"/>
              <w:ind w:left="72"/>
            </w:pPr>
            <w:r>
              <w:rPr>
                <w:rFonts w:ascii="Arial" w:hAnsi="Arial"/>
                <w:color w:val="1F1F1F"/>
                <w:sz w:val="19"/>
              </w:rPr>
              <w:t>0.5</w:t>
            </w:r>
          </w:p>
        </w:tc>
      </w:tr>
      <w:tr>
        <w:tc>
          <w:tcPr>
            <w:tcW w:type="dxa" w:w="2736"/>
            <w:shd w:val="clear" w:color="auto" w:fill="FFFFFF"/>
          </w:tcPr>
          <w:p>
            <w:pPr>
              <w:spacing w:before="60" w:after="60"/>
              <w:ind w:left="72"/>
            </w:pPr>
            <w:r>
              <w:rPr>
                <w:rFonts w:ascii="Arial" w:hAnsi="Arial"/>
                <w:color w:val="1F1F1F"/>
                <w:sz w:val="19"/>
              </w:rPr>
              <w:t>TOTAL — ALL ROLES</w:t>
            </w:r>
          </w:p>
        </w:tc>
        <w:tc>
          <w:tcPr>
            <w:tcW w:type="dxa" w:w="936"/>
            <w:shd w:val="clear" w:color="auto" w:fill="FFFFFF"/>
          </w:tcPr>
          <w:p>
            <w:pPr>
              <w:spacing w:before="60" w:after="60"/>
              <w:ind w:left="72"/>
            </w:pPr>
            <w:r>
              <w:rPr>
                <w:rFonts w:ascii="Arial" w:hAnsi="Arial"/>
                <w:color w:val="1F1F1F"/>
                <w:sz w:val="19"/>
              </w:rPr>
              <w:t>24</w:t>
            </w:r>
          </w:p>
        </w:tc>
        <w:tc>
          <w:tcPr>
            <w:tcW w:type="dxa" w:w="1080"/>
            <w:shd w:val="clear" w:color="auto" w:fill="FFFFFF"/>
          </w:tcPr>
          <w:p>
            <w:pPr>
              <w:spacing w:before="60" w:after="60"/>
              <w:ind w:left="72"/>
            </w:pPr>
            <w:r>
              <w:rPr>
                <w:rFonts w:ascii="Arial" w:hAnsi="Arial"/>
                <w:color w:val="1F1F1F"/>
                <w:sz w:val="19"/>
              </w:rPr>
              <w:t>148</w:t>
            </w:r>
          </w:p>
        </w:tc>
        <w:tc>
          <w:tcPr>
            <w:tcW w:type="dxa" w:w="1080"/>
            <w:shd w:val="clear" w:color="auto" w:fill="FFFFFF"/>
          </w:tcPr>
          <w:p>
            <w:pPr>
              <w:spacing w:before="60" w:after="60"/>
              <w:ind w:left="72"/>
            </w:pPr>
            <w:r>
              <w:rPr>
                <w:rFonts w:ascii="Arial" w:hAnsi="Arial"/>
                <w:color w:val="1F1F1F"/>
                <w:sz w:val="19"/>
              </w:rPr>
              <w:t>236</w:t>
            </w:r>
          </w:p>
        </w:tc>
        <w:tc>
          <w:tcPr>
            <w:tcW w:type="dxa" w:w="1080"/>
            <w:shd w:val="clear" w:color="auto" w:fill="FFFFFF"/>
          </w:tcPr>
          <w:p>
            <w:pPr>
              <w:spacing w:before="60" w:after="60"/>
              <w:ind w:left="72"/>
            </w:pPr>
            <w:r>
              <w:rPr>
                <w:rFonts w:ascii="Arial" w:hAnsi="Arial"/>
                <w:color w:val="1F1F1F"/>
                <w:sz w:val="19"/>
              </w:rPr>
              <w:t>260</w:t>
            </w:r>
          </w:p>
        </w:tc>
        <w:tc>
          <w:tcPr>
            <w:tcW w:type="dxa" w:w="1080"/>
            <w:shd w:val="clear" w:color="auto" w:fill="FFFFFF"/>
          </w:tcPr>
          <w:p>
            <w:pPr>
              <w:spacing w:before="60" w:after="60"/>
              <w:ind w:left="72"/>
            </w:pPr>
            <w:r>
              <w:rPr>
                <w:rFonts w:ascii="Arial" w:hAnsi="Arial"/>
                <w:color w:val="1F1F1F"/>
                <w:sz w:val="19"/>
              </w:rPr>
              <w:t>302</w:t>
            </w:r>
          </w:p>
        </w:tc>
        <w:tc>
          <w:tcPr>
            <w:tcW w:type="dxa" w:w="1080"/>
            <w:shd w:val="clear" w:color="auto" w:fill="FFFFFF"/>
          </w:tcPr>
          <w:p>
            <w:pPr>
              <w:spacing w:before="60" w:after="60"/>
              <w:ind w:left="72"/>
            </w:pPr>
            <w:r>
              <w:rPr>
                <w:rFonts w:ascii="Arial" w:hAnsi="Arial"/>
                <w:color w:val="1F1F1F"/>
                <w:sz w:val="19"/>
              </w:rPr>
              <w:t>970</w:t>
            </w:r>
          </w:p>
        </w:tc>
        <w:tc>
          <w:tcPr>
            <w:tcW w:type="dxa" w:w="936"/>
            <w:shd w:val="clear" w:color="auto" w:fill="FFFFFF"/>
          </w:tcPr>
          <w:p>
            <w:pPr>
              <w:spacing w:before="60" w:after="60"/>
              <w:ind w:left="72"/>
            </w:pPr>
            <w:r>
              <w:rPr>
                <w:rFonts w:ascii="Arial" w:hAnsi="Arial"/>
                <w:color w:val="1F1F1F"/>
                <w:sz w:val="19"/>
              </w:rPr>
              <w:t>24.3</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00" w:after="100"/>
              <w:ind w:left="144"/>
            </w:pPr>
            <w:r>
              <w:rPr>
                <w:rFonts w:ascii="Arial" w:hAnsi="Arial"/>
                <w:b/>
                <w:color w:val="007A78"/>
                <w:sz w:val="20"/>
              </w:rPr>
              <w:t xml:space="preserve">Investment savings vs. Blueprint A:  </w:t>
            </w:r>
            <w:r>
              <w:rPr>
                <w:rFonts w:ascii="Arial" w:hAnsi="Arial"/>
                <w:color w:val="1F1F1F"/>
                <w:sz w:val="20"/>
              </w:rPr>
              <w:t>Blueprint B requires approximately 430 fewer total hours (31% reduction) and completes 6–8 weeks sooner. The Lead Developer is the primary resource at ~12 FTE weeks and can be a configurator-profile developer rather than a dedicated Studio app developer.</w:t>
            </w:r>
          </w:p>
        </w:tc>
      </w:tr>
    </w:tbl>
    <w:p>
      <w:pPr>
        <w:spacing w:after="80"/>
      </w:pPr>
    </w:p>
    <w:p>
      <w:pPr>
        <w:spacing w:before="200" w:after="60"/>
      </w:pPr>
      <w:r>
        <w:rPr>
          <w:rFonts w:ascii="Arial" w:hAnsi="Arial"/>
          <w:b/>
          <w:color w:val="007A78"/>
          <w:sz w:val="22"/>
        </w:rPr>
        <w:t>Role Profiles Required</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592"/>
            <w:shd w:val="clear" w:color="auto" w:fill="007A78"/>
          </w:tcPr>
          <w:p>
            <w:pPr>
              <w:spacing w:before="80" w:after="80"/>
              <w:ind w:left="72"/>
            </w:pPr>
            <w:r>
              <w:rPr>
                <w:rFonts w:ascii="Arial" w:hAnsi="Arial"/>
                <w:b/>
                <w:color w:val="FFFFFF"/>
                <w:sz w:val="20"/>
              </w:rPr>
              <w:t>Role</w:t>
            </w:r>
          </w:p>
        </w:tc>
        <w:tc>
          <w:tcPr>
            <w:tcW w:type="dxa" w:w="3600"/>
            <w:shd w:val="clear" w:color="auto" w:fill="007A78"/>
          </w:tcPr>
          <w:p>
            <w:pPr>
              <w:spacing w:before="80" w:after="80"/>
              <w:ind w:left="72"/>
            </w:pPr>
            <w:r>
              <w:rPr>
                <w:rFonts w:ascii="Arial" w:hAnsi="Arial"/>
                <w:b/>
                <w:color w:val="FFFFFF"/>
                <w:sz w:val="20"/>
              </w:rPr>
              <w:t>Profile Needed</w:t>
            </w:r>
          </w:p>
        </w:tc>
        <w:tc>
          <w:tcPr>
            <w:tcW w:type="dxa" w:w="3168"/>
            <w:shd w:val="clear" w:color="auto" w:fill="007A78"/>
          </w:tcPr>
          <w:p>
            <w:pPr>
              <w:spacing w:before="80" w:after="80"/>
              <w:ind w:left="72"/>
            </w:pPr>
            <w:r>
              <w:rPr>
                <w:rFonts w:ascii="Arial" w:hAnsi="Arial"/>
                <w:b/>
                <w:color w:val="FFFFFF"/>
                <w:sz w:val="20"/>
              </w:rPr>
              <w:t>Can Be</w:t>
            </w:r>
          </w:p>
        </w:tc>
      </w:tr>
      <w:tr>
        <w:tc>
          <w:tcPr>
            <w:tcW w:type="dxa" w:w="2592"/>
            <w:shd w:val="clear" w:color="auto" w:fill="F2F2F2"/>
          </w:tcPr>
          <w:p>
            <w:pPr>
              <w:spacing w:before="60" w:after="60"/>
              <w:ind w:left="72"/>
            </w:pPr>
            <w:r>
              <w:rPr>
                <w:rFonts w:ascii="Arial" w:hAnsi="Arial"/>
                <w:color w:val="1F1F1F"/>
                <w:sz w:val="19"/>
              </w:rPr>
              <w:t>Lead Developer / Configurator</w:t>
            </w:r>
          </w:p>
        </w:tc>
        <w:tc>
          <w:tcPr>
            <w:tcW w:type="dxa" w:w="3600"/>
            <w:shd w:val="clear" w:color="auto" w:fill="F2F2F2"/>
          </w:tcPr>
          <w:p>
            <w:pPr>
              <w:spacing w:before="60" w:after="60"/>
              <w:ind w:left="72"/>
            </w:pPr>
            <w:r>
              <w:rPr>
                <w:rFonts w:ascii="Arial" w:hAnsi="Arial"/>
                <w:color w:val="1F1F1F"/>
                <w:sz w:val="19"/>
              </w:rPr>
              <w:t>ServiceNow configuration, field extensions, Service Portal, Flow Designer, GlideScript</w:t>
            </w:r>
          </w:p>
        </w:tc>
        <w:tc>
          <w:tcPr>
            <w:tcW w:type="dxa" w:w="3168"/>
            <w:shd w:val="clear" w:color="auto" w:fill="F2F2F2"/>
          </w:tcPr>
          <w:p>
            <w:pPr>
              <w:spacing w:before="60" w:after="60"/>
              <w:ind w:left="72"/>
            </w:pPr>
            <w:r>
              <w:rPr>
                <w:rFonts w:ascii="Arial" w:hAnsi="Arial"/>
                <w:color w:val="1F1F1F"/>
                <w:sz w:val="19"/>
              </w:rPr>
              <w:t>Mid-to-senior SNow configurator; Studio app experience not required</w:t>
            </w:r>
          </w:p>
        </w:tc>
      </w:tr>
      <w:tr>
        <w:tc>
          <w:tcPr>
            <w:tcW w:type="dxa" w:w="2592"/>
            <w:shd w:val="clear" w:color="auto" w:fill="FFFFFF"/>
          </w:tcPr>
          <w:p>
            <w:pPr>
              <w:spacing w:before="60" w:after="60"/>
              <w:ind w:left="72"/>
            </w:pPr>
            <w:r>
              <w:rPr>
                <w:rFonts w:ascii="Arial" w:hAnsi="Arial"/>
                <w:color w:val="1F1F1F"/>
                <w:sz w:val="19"/>
              </w:rPr>
              <w:t>Delivery Manager</w:t>
            </w:r>
          </w:p>
        </w:tc>
        <w:tc>
          <w:tcPr>
            <w:tcW w:type="dxa" w:w="3600"/>
            <w:shd w:val="clear" w:color="auto" w:fill="FFFFFF"/>
          </w:tcPr>
          <w:p>
            <w:pPr>
              <w:spacing w:before="60" w:after="60"/>
              <w:ind w:left="72"/>
            </w:pPr>
            <w:r>
              <w:rPr>
                <w:rFonts w:ascii="Arial" w:hAnsi="Arial"/>
                <w:color w:val="1F1F1F"/>
                <w:sz w:val="19"/>
              </w:rPr>
              <w:t>ECS methodology; portal UX input; customer access validation</w:t>
            </w:r>
          </w:p>
        </w:tc>
        <w:tc>
          <w:tcPr>
            <w:tcW w:type="dxa" w:w="3168"/>
            <w:shd w:val="clear" w:color="auto" w:fill="FFFFFF"/>
          </w:tcPr>
          <w:p>
            <w:pPr>
              <w:spacing w:before="60" w:after="60"/>
              <w:ind w:left="72"/>
            </w:pPr>
            <w:r>
              <w:rPr>
                <w:rFonts w:ascii="Arial" w:hAnsi="Arial"/>
                <w:color w:val="1F1F1F"/>
                <w:sz w:val="19"/>
              </w:rPr>
              <w:t>Existing ECS delivery manager — part-time through Phase 3</w:t>
            </w:r>
          </w:p>
        </w:tc>
      </w:tr>
      <w:tr>
        <w:tc>
          <w:tcPr>
            <w:tcW w:type="dxa" w:w="2592"/>
            <w:shd w:val="clear" w:color="auto" w:fill="F2F2F2"/>
          </w:tcPr>
          <w:p>
            <w:pPr>
              <w:spacing w:before="60" w:after="60"/>
              <w:ind w:left="72"/>
            </w:pPr>
            <w:r>
              <w:rPr>
                <w:rFonts w:ascii="Arial" w:hAnsi="Arial"/>
                <w:color w:val="1F1F1F"/>
                <w:sz w:val="19"/>
              </w:rPr>
              <w:t>Content / Methodology Owner</w:t>
            </w:r>
          </w:p>
        </w:tc>
        <w:tc>
          <w:tcPr>
            <w:tcW w:type="dxa" w:w="3600"/>
            <w:shd w:val="clear" w:color="auto" w:fill="F2F2F2"/>
          </w:tcPr>
          <w:p>
            <w:pPr>
              <w:spacing w:before="60" w:after="60"/>
              <w:ind w:left="72"/>
            </w:pPr>
            <w:r>
              <w:rPr>
                <w:rFonts w:ascii="Arial" w:hAnsi="Arial"/>
                <w:color w:val="1F1F1F"/>
                <w:sz w:val="19"/>
              </w:rPr>
              <w:t>ECS collateral knowledge; KB tagging</w:t>
            </w:r>
          </w:p>
        </w:tc>
        <w:tc>
          <w:tcPr>
            <w:tcW w:type="dxa" w:w="3168"/>
            <w:shd w:val="clear" w:color="auto" w:fill="F2F2F2"/>
          </w:tcPr>
          <w:p>
            <w:pPr>
              <w:spacing w:before="60" w:after="60"/>
              <w:ind w:left="72"/>
            </w:pPr>
            <w:r>
              <w:rPr>
                <w:rFonts w:ascii="Arial" w:hAnsi="Arial"/>
                <w:color w:val="1F1F1F"/>
                <w:sz w:val="19"/>
              </w:rPr>
              <w:t>Senior consultant or DM; not needed until Phase 3</w:t>
            </w:r>
          </w:p>
        </w:tc>
      </w:tr>
      <w:tr>
        <w:tc>
          <w:tcPr>
            <w:tcW w:type="dxa" w:w="2592"/>
            <w:shd w:val="clear" w:color="auto" w:fill="FFFFFF"/>
          </w:tcPr>
          <w:p>
            <w:pPr>
              <w:spacing w:before="60" w:after="60"/>
              <w:ind w:left="72"/>
            </w:pPr>
            <w:r>
              <w:rPr>
                <w:rFonts w:ascii="Arial" w:hAnsi="Arial"/>
                <w:color w:val="1F1F1F"/>
                <w:sz w:val="19"/>
              </w:rPr>
              <w:t>QA / Senior Developer</w:t>
            </w:r>
          </w:p>
        </w:tc>
        <w:tc>
          <w:tcPr>
            <w:tcW w:type="dxa" w:w="3600"/>
            <w:shd w:val="clear" w:color="auto" w:fill="FFFFFF"/>
          </w:tcPr>
          <w:p>
            <w:pPr>
              <w:spacing w:before="60" w:after="60"/>
              <w:ind w:left="72"/>
            </w:pPr>
            <w:r>
              <w:rPr>
                <w:rFonts w:ascii="Arial" w:hAnsi="Arial"/>
                <w:color w:val="1F1F1F"/>
                <w:sz w:val="19"/>
              </w:rPr>
              <w:t>Peer review, ACL testing, upgrade risk assessment</w:t>
            </w:r>
          </w:p>
        </w:tc>
        <w:tc>
          <w:tcPr>
            <w:tcW w:type="dxa" w:w="3168"/>
            <w:shd w:val="clear" w:color="auto" w:fill="FFFFFF"/>
          </w:tcPr>
          <w:p>
            <w:pPr>
              <w:spacing w:before="60" w:after="60"/>
              <w:ind w:left="72"/>
            </w:pPr>
            <w:r>
              <w:rPr>
                <w:rFonts w:ascii="Arial" w:hAnsi="Arial"/>
                <w:color w:val="1F1F1F"/>
                <w:sz w:val="19"/>
              </w:rPr>
              <w:t>Senior developer or second consultant; not a dedicated QA role</w:t>
            </w:r>
          </w:p>
        </w:tc>
      </w:tr>
      <w:tr>
        <w:tc>
          <w:tcPr>
            <w:tcW w:type="dxa" w:w="2592"/>
            <w:shd w:val="clear" w:color="auto" w:fill="F2F2F2"/>
          </w:tcPr>
          <w:p>
            <w:pPr>
              <w:spacing w:before="60" w:after="60"/>
              <w:ind w:left="72"/>
            </w:pPr>
            <w:r>
              <w:rPr>
                <w:rFonts w:ascii="Arial" w:hAnsi="Arial"/>
                <w:color w:val="1F1F1F"/>
                <w:sz w:val="19"/>
              </w:rPr>
              <w:t>Practice Leader</w:t>
            </w:r>
          </w:p>
        </w:tc>
        <w:tc>
          <w:tcPr>
            <w:tcW w:type="dxa" w:w="3600"/>
            <w:shd w:val="clear" w:color="auto" w:fill="F2F2F2"/>
          </w:tcPr>
          <w:p>
            <w:pPr>
              <w:spacing w:before="60" w:after="60"/>
              <w:ind w:left="72"/>
            </w:pPr>
            <w:r>
              <w:rPr>
                <w:rFonts w:ascii="Arial" w:hAnsi="Arial"/>
                <w:color w:val="1F1F1F"/>
                <w:sz w:val="19"/>
              </w:rPr>
              <w:t>Phase gate reviews and sign-off</w:t>
            </w:r>
          </w:p>
        </w:tc>
        <w:tc>
          <w:tcPr>
            <w:tcW w:type="dxa" w:w="3168"/>
            <w:shd w:val="clear" w:color="auto" w:fill="F2F2F2"/>
          </w:tcPr>
          <w:p>
            <w:pPr>
              <w:spacing w:before="60" w:after="60"/>
              <w:ind w:left="72"/>
            </w:pPr>
            <w:r>
              <w:rPr>
                <w:rFonts w:ascii="Arial" w:hAnsi="Arial"/>
                <w:color w:val="1F1F1F"/>
                <w:sz w:val="19"/>
              </w:rPr>
              <w:t>Senior Director — 4 hours per milestone only</w:t>
            </w:r>
          </w:p>
        </w:tc>
      </w:tr>
    </w:tbl>
    <w:p>
      <w:pPr>
        <w:spacing w:after="100"/>
      </w:pPr>
    </w:p>
    <w:p>
      <w:r>
        <w:br w:type="page"/>
      </w:r>
    </w:p>
    <w:p>
      <w:pPr>
        <w:spacing w:before="320" w:after="100"/>
        <w:pBdr>
          <w:bottom w:val="single" w:sz="6" w:space="1" w:color="007A78"/>
        </w:pBdr>
      </w:pPr>
      <w:r>
        <w:rPr>
          <w:rFonts w:ascii="Arial" w:hAnsi="Arial"/>
          <w:b/>
          <w:color w:val="007A78"/>
          <w:sz w:val="26"/>
        </w:rPr>
        <w:t>4. TIMELINE SUMMARY</w:t>
      </w:r>
    </w:p>
    <w:p>
      <w:pPr>
        <w:spacing w:before="0" w:after="160"/>
        <w:jc w:val="left"/>
      </w:pPr>
      <w:r>
        <w:rPr>
          <w:rFonts w:ascii="Arial" w:hAnsi="Arial"/>
          <w:b w:val="0"/>
          <w:i w:val="0"/>
          <w:color w:val="1F1F1F"/>
          <w:sz w:val="21"/>
        </w:rPr>
        <w:t>Blueprint B's 10–12 week build means the platform could be live on a real customer engagement by mid-August 2026 — before the next major engagement cycle.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880"/>
            <w:shd w:val="clear" w:color="auto" w:fill="007A78"/>
          </w:tcPr>
          <w:p>
            <w:pPr>
              <w:spacing w:before="80" w:after="80"/>
              <w:ind w:left="72"/>
            </w:pPr>
            <w:r>
              <w:rPr>
                <w:rFonts w:ascii="Arial" w:hAnsi="Arial"/>
                <w:b/>
                <w:color w:val="FFFFFF"/>
                <w:sz w:val="20"/>
              </w:rPr>
              <w:t>Phase</w:t>
            </w:r>
          </w:p>
        </w:tc>
        <w:tc>
          <w:tcPr>
            <w:tcW w:type="dxa" w:w="1728"/>
            <w:shd w:val="clear" w:color="auto" w:fill="007A78"/>
          </w:tcPr>
          <w:p>
            <w:pPr>
              <w:spacing w:before="80" w:after="80"/>
              <w:ind w:left="72"/>
            </w:pPr>
            <w:r>
              <w:rPr>
                <w:rFonts w:ascii="Arial" w:hAnsi="Arial"/>
                <w:b/>
                <w:color w:val="FFFFFF"/>
                <w:sz w:val="20"/>
              </w:rPr>
              <w:t>Calendar Weeks</w:t>
            </w:r>
          </w:p>
        </w:tc>
        <w:tc>
          <w:tcPr>
            <w:tcW w:type="dxa" w:w="1872"/>
            <w:shd w:val="clear" w:color="auto" w:fill="007A78"/>
          </w:tcPr>
          <w:p>
            <w:pPr>
              <w:spacing w:before="80" w:after="80"/>
              <w:ind w:left="72"/>
            </w:pPr>
            <w:r>
              <w:rPr>
                <w:rFonts w:ascii="Arial" w:hAnsi="Arial"/>
                <w:b/>
                <w:color w:val="FFFFFF"/>
                <w:sz w:val="20"/>
              </w:rPr>
              <w:t>Target Dates</w:t>
            </w:r>
          </w:p>
        </w:tc>
        <w:tc>
          <w:tcPr>
            <w:tcW w:type="dxa" w:w="2880"/>
            <w:shd w:val="clear" w:color="auto" w:fill="007A78"/>
          </w:tcPr>
          <w:p>
            <w:pPr>
              <w:spacing w:before="80" w:after="80"/>
              <w:ind w:left="72"/>
            </w:pPr>
            <w:r>
              <w:rPr>
                <w:rFonts w:ascii="Arial" w:hAnsi="Arial"/>
                <w:b/>
                <w:color w:val="FFFFFF"/>
                <w:sz w:val="20"/>
              </w:rPr>
              <w:t>Key Milestone</w:t>
            </w:r>
          </w:p>
        </w:tc>
      </w:tr>
      <w:tr>
        <w:tc>
          <w:tcPr>
            <w:tcW w:type="dxa" w:w="2880"/>
            <w:shd w:val="clear" w:color="auto" w:fill="F2F2F2"/>
          </w:tcPr>
          <w:p>
            <w:pPr>
              <w:spacing w:before="60" w:after="60"/>
              <w:ind w:left="72"/>
            </w:pPr>
            <w:r>
              <w:rPr>
                <w:rFonts w:ascii="Arial" w:hAnsi="Arial"/>
                <w:color w:val="1F1F1F"/>
                <w:sz w:val="19"/>
              </w:rPr>
              <w:t>Phase 0 — Pre-Build</w:t>
            </w:r>
          </w:p>
        </w:tc>
        <w:tc>
          <w:tcPr>
            <w:tcW w:type="dxa" w:w="1728"/>
            <w:shd w:val="clear" w:color="auto" w:fill="F2F2F2"/>
          </w:tcPr>
          <w:p>
            <w:pPr>
              <w:spacing w:before="60" w:after="60"/>
              <w:ind w:left="72"/>
            </w:pPr>
            <w:r>
              <w:rPr>
                <w:rFonts w:ascii="Arial" w:hAnsi="Arial"/>
                <w:color w:val="1F1F1F"/>
                <w:sz w:val="19"/>
              </w:rPr>
              <w:t>Weeks −2 to 0</w:t>
            </w:r>
          </w:p>
        </w:tc>
        <w:tc>
          <w:tcPr>
            <w:tcW w:type="dxa" w:w="1872"/>
            <w:shd w:val="clear" w:color="auto" w:fill="F2F2F2"/>
          </w:tcPr>
          <w:p>
            <w:pPr>
              <w:spacing w:before="60" w:after="60"/>
              <w:ind w:left="72"/>
            </w:pPr>
            <w:r>
              <w:rPr>
                <w:rFonts w:ascii="Arial" w:hAnsi="Arial"/>
                <w:color w:val="1F1F1F"/>
                <w:sz w:val="19"/>
              </w:rPr>
              <w:t>May – Jun 2026</w:t>
            </w:r>
          </w:p>
        </w:tc>
        <w:tc>
          <w:tcPr>
            <w:tcW w:type="dxa" w:w="2880"/>
            <w:shd w:val="clear" w:color="auto" w:fill="F2F2F2"/>
          </w:tcPr>
          <w:p>
            <w:pPr>
              <w:spacing w:before="60" w:after="60"/>
              <w:ind w:left="72"/>
            </w:pPr>
            <w:r>
              <w:rPr>
                <w:rFonts w:ascii="Arial" w:hAnsi="Arial"/>
                <w:color w:val="1F1F1F"/>
                <w:sz w:val="19"/>
              </w:rPr>
              <w:t>Decision; PDI; Extension Registry approved</w:t>
            </w:r>
          </w:p>
        </w:tc>
      </w:tr>
      <w:tr>
        <w:tc>
          <w:tcPr>
            <w:tcW w:type="dxa" w:w="2880"/>
            <w:shd w:val="clear" w:color="auto" w:fill="FFFFFF"/>
          </w:tcPr>
          <w:p>
            <w:pPr>
              <w:spacing w:before="60" w:after="60"/>
              <w:ind w:left="72"/>
            </w:pPr>
            <w:r>
              <w:rPr>
                <w:rFonts w:ascii="Arial" w:hAnsi="Arial"/>
                <w:color w:val="1F1F1F"/>
                <w:sz w:val="19"/>
              </w:rPr>
              <w:t>Phase 1 — Extensions &amp; Roles</w:t>
            </w:r>
          </w:p>
        </w:tc>
        <w:tc>
          <w:tcPr>
            <w:tcW w:type="dxa" w:w="1728"/>
            <w:shd w:val="clear" w:color="auto" w:fill="FFFFFF"/>
          </w:tcPr>
          <w:p>
            <w:pPr>
              <w:spacing w:before="60" w:after="60"/>
              <w:ind w:left="72"/>
            </w:pPr>
            <w:r>
              <w:rPr>
                <w:rFonts w:ascii="Arial" w:hAnsi="Arial"/>
                <w:color w:val="1F1F1F"/>
                <w:sz w:val="19"/>
              </w:rPr>
              <w:t>Weeks 1–3</w:t>
            </w:r>
          </w:p>
        </w:tc>
        <w:tc>
          <w:tcPr>
            <w:tcW w:type="dxa" w:w="1872"/>
            <w:shd w:val="clear" w:color="auto" w:fill="FFFFFF"/>
          </w:tcPr>
          <w:p>
            <w:pPr>
              <w:spacing w:before="60" w:after="60"/>
              <w:ind w:left="72"/>
            </w:pPr>
            <w:r>
              <w:rPr>
                <w:rFonts w:ascii="Arial" w:hAnsi="Arial"/>
                <w:color w:val="1F1F1F"/>
                <w:sz w:val="19"/>
              </w:rPr>
              <w:t>Jun 2026</w:t>
            </w:r>
          </w:p>
        </w:tc>
        <w:tc>
          <w:tcPr>
            <w:tcW w:type="dxa" w:w="2880"/>
            <w:shd w:val="clear" w:color="auto" w:fill="FFFFFF"/>
          </w:tcPr>
          <w:p>
            <w:pPr>
              <w:spacing w:before="60" w:after="60"/>
              <w:ind w:left="72"/>
            </w:pPr>
            <w:r>
              <w:rPr>
                <w:rFonts w:ascii="Arial" w:hAnsi="Arial"/>
                <w:color w:val="1F1F1F"/>
                <w:sz w:val="19"/>
              </w:rPr>
              <w:t>v0.5: all u_ecs_ fields live, roles and ACLs, portable update set</w:t>
            </w:r>
          </w:p>
        </w:tc>
      </w:tr>
      <w:tr>
        <w:tc>
          <w:tcPr>
            <w:tcW w:type="dxa" w:w="2880"/>
            <w:shd w:val="clear" w:color="auto" w:fill="F2F2F2"/>
          </w:tcPr>
          <w:p>
            <w:pPr>
              <w:spacing w:before="60" w:after="60"/>
              <w:ind w:left="72"/>
            </w:pPr>
            <w:r>
              <w:rPr>
                <w:rFonts w:ascii="Arial" w:hAnsi="Arial"/>
                <w:color w:val="1F1F1F"/>
                <w:sz w:val="19"/>
              </w:rPr>
              <w:t>Phase 2 — Portal &amp; Health Engine</w:t>
            </w:r>
          </w:p>
        </w:tc>
        <w:tc>
          <w:tcPr>
            <w:tcW w:type="dxa" w:w="1728"/>
            <w:shd w:val="clear" w:color="auto" w:fill="F2F2F2"/>
          </w:tcPr>
          <w:p>
            <w:pPr>
              <w:spacing w:before="60" w:after="60"/>
              <w:ind w:left="72"/>
            </w:pPr>
            <w:r>
              <w:rPr>
                <w:rFonts w:ascii="Arial" w:hAnsi="Arial"/>
                <w:color w:val="1F1F1F"/>
                <w:sz w:val="19"/>
              </w:rPr>
              <w:t>Weeks 4–7</w:t>
            </w:r>
          </w:p>
        </w:tc>
        <w:tc>
          <w:tcPr>
            <w:tcW w:type="dxa" w:w="1872"/>
            <w:shd w:val="clear" w:color="auto" w:fill="F2F2F2"/>
          </w:tcPr>
          <w:p>
            <w:pPr>
              <w:spacing w:before="60" w:after="60"/>
              <w:ind w:left="72"/>
            </w:pPr>
            <w:r>
              <w:rPr>
                <w:rFonts w:ascii="Arial" w:hAnsi="Arial"/>
                <w:color w:val="1F1F1F"/>
                <w:sz w:val="19"/>
              </w:rPr>
              <w:t>Jun – Jul 2026</w:t>
            </w:r>
          </w:p>
        </w:tc>
        <w:tc>
          <w:tcPr>
            <w:tcW w:type="dxa" w:w="2880"/>
            <w:shd w:val="clear" w:color="auto" w:fill="F2F2F2"/>
          </w:tcPr>
          <w:p>
            <w:pPr>
              <w:spacing w:before="60" w:after="60"/>
              <w:ind w:left="72"/>
            </w:pPr>
            <w:r>
              <w:rPr>
                <w:rFonts w:ascii="Arial" w:hAnsi="Arial"/>
                <w:color w:val="1F1F1F"/>
                <w:sz w:val="19"/>
              </w:rPr>
              <w:t>v0.7: all portal pages, health score, customer portal access</w:t>
            </w:r>
          </w:p>
        </w:tc>
      </w:tr>
      <w:tr>
        <w:tc>
          <w:tcPr>
            <w:tcW w:type="dxa" w:w="2880"/>
            <w:shd w:val="clear" w:color="auto" w:fill="FFFFFF"/>
          </w:tcPr>
          <w:p>
            <w:pPr>
              <w:spacing w:before="60" w:after="60"/>
              <w:ind w:left="72"/>
            </w:pPr>
            <w:r>
              <w:rPr>
                <w:rFonts w:ascii="Arial" w:hAnsi="Arial"/>
                <w:color w:val="1F1F1F"/>
                <w:sz w:val="19"/>
              </w:rPr>
              <w:t>Phase 3 — Integrations &amp; Content</w:t>
            </w:r>
          </w:p>
        </w:tc>
        <w:tc>
          <w:tcPr>
            <w:tcW w:type="dxa" w:w="1728"/>
            <w:shd w:val="clear" w:color="auto" w:fill="FFFFFF"/>
          </w:tcPr>
          <w:p>
            <w:pPr>
              <w:spacing w:before="60" w:after="60"/>
              <w:ind w:left="72"/>
            </w:pPr>
            <w:r>
              <w:rPr>
                <w:rFonts w:ascii="Arial" w:hAnsi="Arial"/>
                <w:color w:val="1F1F1F"/>
                <w:sz w:val="19"/>
              </w:rPr>
              <w:t>Weeks 8–10</w:t>
            </w:r>
          </w:p>
        </w:tc>
        <w:tc>
          <w:tcPr>
            <w:tcW w:type="dxa" w:w="1872"/>
            <w:shd w:val="clear" w:color="auto" w:fill="FFFFFF"/>
          </w:tcPr>
          <w:p>
            <w:pPr>
              <w:spacing w:before="60" w:after="60"/>
              <w:ind w:left="72"/>
            </w:pPr>
            <w:r>
              <w:rPr>
                <w:rFonts w:ascii="Arial" w:hAnsi="Arial"/>
                <w:color w:val="1F1F1F"/>
                <w:sz w:val="19"/>
              </w:rPr>
              <w:t>Jul – Aug 2026</w:t>
            </w:r>
          </w:p>
        </w:tc>
        <w:tc>
          <w:tcPr>
            <w:tcW w:type="dxa" w:w="2880"/>
            <w:shd w:val="clear" w:color="auto" w:fill="FFFFFF"/>
          </w:tcPr>
          <w:p>
            <w:pPr>
              <w:spacing w:before="60" w:after="60"/>
              <w:ind w:left="72"/>
            </w:pPr>
            <w:r>
              <w:rPr>
                <w:rFonts w:ascii="Arial" w:hAnsi="Arial"/>
                <w:color w:val="1F1F1F"/>
                <w:sz w:val="19"/>
              </w:rPr>
              <w:t>v0.9: Agile velocity, milestones, KB content surfacing, VA topics</w:t>
            </w:r>
          </w:p>
        </w:tc>
      </w:tr>
      <w:tr>
        <w:tc>
          <w:tcPr>
            <w:tcW w:type="dxa" w:w="2880"/>
            <w:shd w:val="clear" w:color="auto" w:fill="F2F2F2"/>
          </w:tcPr>
          <w:p>
            <w:pPr>
              <w:spacing w:before="60" w:after="60"/>
              <w:ind w:left="72"/>
            </w:pPr>
            <w:r>
              <w:rPr>
                <w:rFonts w:ascii="Arial" w:hAnsi="Arial"/>
                <w:color w:val="1F1F1F"/>
                <w:sz w:val="19"/>
              </w:rPr>
              <w:t>Phase 4 — Hardening &amp; Release</w:t>
            </w:r>
          </w:p>
        </w:tc>
        <w:tc>
          <w:tcPr>
            <w:tcW w:type="dxa" w:w="1728"/>
            <w:shd w:val="clear" w:color="auto" w:fill="F2F2F2"/>
          </w:tcPr>
          <w:p>
            <w:pPr>
              <w:spacing w:before="60" w:after="60"/>
              <w:ind w:left="72"/>
            </w:pPr>
            <w:r>
              <w:rPr>
                <w:rFonts w:ascii="Arial" w:hAnsi="Arial"/>
                <w:color w:val="1F1F1F"/>
                <w:sz w:val="19"/>
              </w:rPr>
              <w:t>Weeks 11–12</w:t>
            </w:r>
          </w:p>
        </w:tc>
        <w:tc>
          <w:tcPr>
            <w:tcW w:type="dxa" w:w="1872"/>
            <w:shd w:val="clear" w:color="auto" w:fill="F2F2F2"/>
          </w:tcPr>
          <w:p>
            <w:pPr>
              <w:spacing w:before="60" w:after="60"/>
              <w:ind w:left="72"/>
            </w:pPr>
            <w:r>
              <w:rPr>
                <w:rFonts w:ascii="Arial" w:hAnsi="Arial"/>
                <w:color w:val="1F1F1F"/>
                <w:sz w:val="19"/>
              </w:rPr>
              <w:t>Aug 2026</w:t>
            </w:r>
          </w:p>
        </w:tc>
        <w:tc>
          <w:tcPr>
            <w:tcW w:type="dxa" w:w="2880"/>
            <w:shd w:val="clear" w:color="auto" w:fill="F2F2F2"/>
          </w:tcPr>
          <w:p>
            <w:pPr>
              <w:spacing w:before="60" w:after="60"/>
              <w:ind w:left="72"/>
            </w:pPr>
            <w:r>
              <w:rPr>
                <w:rFonts w:ascii="Arial" w:hAnsi="Arial"/>
                <w:color w:val="1F1F1F"/>
                <w:sz w:val="19"/>
              </w:rPr>
              <w:t>v1.0: ACL audit, upgrade risk assessed, docs complete, pilot live</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00" w:after="100"/>
              <w:ind w:left="144"/>
            </w:pPr>
            <w:r>
              <w:rPr>
                <w:rFonts w:ascii="Arial" w:hAnsi="Arial"/>
                <w:b/>
                <w:color w:val="007A78"/>
                <w:sz w:val="20"/>
              </w:rPr>
              <w:t xml:space="preserve">First engagement target:  </w:t>
            </w:r>
            <w:r>
              <w:rPr>
                <w:rFonts w:ascii="Arial" w:hAnsi="Arial"/>
                <w:color w:val="1F1F1F"/>
                <w:sz w:val="20"/>
              </w:rPr>
              <w:t>With a June 1 start, v1.0 can be deployed on the next new ECS engagement that begins in September 2026 or later. The pilot deployment in Phase 4 (Week 12) can coincide with a Sprint 0 in progress.</w:t>
            </w:r>
          </w:p>
        </w:tc>
      </w:tr>
    </w:tbl>
    <w:p>
      <w:pPr>
        <w:spacing w:after="80"/>
      </w:pPr>
    </w:p>
    <w:p>
      <w:pPr>
        <w:spacing w:before="320" w:after="100"/>
        <w:pBdr>
          <w:bottom w:val="single" w:sz="6" w:space="1" w:color="007A78"/>
        </w:pBdr>
      </w:pPr>
      <w:r>
        <w:rPr>
          <w:rFonts w:ascii="Arial" w:hAnsi="Arial"/>
          <w:b/>
          <w:color w:val="007A78"/>
          <w:sz w:val="26"/>
        </w:rPr>
        <w:t>5. RISK PROFILE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SKU risk: No App Engine required. Deploys on any customer instance with base platform + SPM + ITSM.</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E67E22"/>
          </w:tcPr>
          <w:p>
            <w:pPr>
              <w:spacing w:before="60" w:after="60"/>
              <w:jc w:val="center"/>
            </w:pPr>
            <w:r>
              <w:rPr>
                <w:rFonts w:ascii="Arial" w:hAnsi="Arial"/>
                <w:b/>
                <w:color w:val="FFFFFF"/>
                <w:sz w:val="19"/>
              </w:rPr>
              <w:t>MED</w:t>
            </w:r>
          </w:p>
        </w:tc>
        <w:tc>
          <w:tcPr>
            <w:tcW w:type="dxa" w:w="8784"/>
            <w:shd w:val="clear" w:color="auto" w:fill="F9F9F9"/>
          </w:tcPr>
          <w:p>
            <w:pPr>
              <w:spacing w:before="60" w:after="60"/>
              <w:ind w:left="144"/>
            </w:pPr>
            <w:r>
              <w:rPr>
                <w:rFonts w:ascii="Arial" w:hAnsi="Arial"/>
                <w:color w:val="1F1F1F"/>
                <w:sz w:val="19"/>
              </w:rPr>
              <w:t>Upgrade risk: field extensions on native tables can be affected by biannual ServiceNow upgrades. Mitigated by: Extension Registry, scoped field naming (u_ecs_ prefix), upgrade regression checklist (built in Phase 4).</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E67E22"/>
          </w:tcPr>
          <w:p>
            <w:pPr>
              <w:spacing w:before="60" w:after="60"/>
              <w:jc w:val="center"/>
            </w:pPr>
            <w:r>
              <w:rPr>
                <w:rFonts w:ascii="Arial" w:hAnsi="Arial"/>
                <w:b/>
                <w:color w:val="FFFFFF"/>
                <w:sz w:val="19"/>
              </w:rPr>
              <w:t>MED</w:t>
            </w:r>
          </w:p>
        </w:tc>
        <w:tc>
          <w:tcPr>
            <w:tcW w:type="dxa" w:w="8784"/>
            <w:shd w:val="clear" w:color="auto" w:fill="F9F9F9"/>
          </w:tcPr>
          <w:p>
            <w:pPr>
              <w:spacing w:before="60" w:after="60"/>
              <w:ind w:left="144"/>
            </w:pPr>
            <w:r>
              <w:rPr>
                <w:rFonts w:ascii="Arial" w:hAnsi="Arial"/>
                <w:color w:val="1F1F1F"/>
                <w:sz w:val="19"/>
              </w:rPr>
              <w:t>GRC licensing: Risk records use sn_risk_risk if customer has GRC. If not, the fallback extends the Task table instead. Confirm during Sprint 0 — does not affect other platform capabilities.</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Data isolation: customer portal ACLs restrict access to relevant records only. Phase 4 includes a dedicated ACL audit and customer portal penetration test before first live deployment.</w:t>
            </w:r>
          </w:p>
        </w:tc>
      </w:tr>
    </w:tbl>
    <w:p>
      <w:pPr>
        <w:spacing w:after="4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576"/>
            <w:shd w:val="clear" w:color="auto" w:fill="378630"/>
          </w:tcPr>
          <w:p>
            <w:pPr>
              <w:spacing w:before="60" w:after="60"/>
              <w:jc w:val="center"/>
            </w:pPr>
            <w:r>
              <w:rPr>
                <w:rFonts w:ascii="Arial" w:hAnsi="Arial"/>
                <w:b/>
                <w:color w:val="FFFFFF"/>
                <w:sz w:val="19"/>
              </w:rPr>
              <w:t>LOW</w:t>
            </w:r>
          </w:p>
        </w:tc>
        <w:tc>
          <w:tcPr>
            <w:tcW w:type="dxa" w:w="8784"/>
            <w:shd w:val="clear" w:color="auto" w:fill="F9F9F9"/>
          </w:tcPr>
          <w:p>
            <w:pPr>
              <w:spacing w:before="60" w:after="60"/>
              <w:ind w:left="144"/>
            </w:pPr>
            <w:r>
              <w:rPr>
                <w:rFonts w:ascii="Arial" w:hAnsi="Arial"/>
                <w:color w:val="1F1F1F"/>
                <w:sz w:val="19"/>
              </w:rPr>
              <w:t>Commercial path: Blueprint B can be rebuilt as Blueprint A once the platform design is validated. No investment is wasted — the portal design, health score logic, and content structure all transfer.</w:t>
            </w:r>
          </w:p>
        </w:tc>
      </w:tr>
    </w:tbl>
    <w:p>
      <w:pPr>
        <w:spacing w:after="40"/>
      </w:pPr>
    </w:p>
    <w:p>
      <w:r>
        <w:br w:type="page"/>
      </w:r>
    </w:p>
    <w:p>
      <w:pPr>
        <w:spacing w:before="320" w:after="100"/>
        <w:pBdr>
          <w:bottom w:val="single" w:sz="6" w:space="1" w:color="007A78"/>
        </w:pBdr>
      </w:pPr>
      <w:r>
        <w:rPr>
          <w:rFonts w:ascii="Arial" w:hAnsi="Arial"/>
          <w:b/>
          <w:color w:val="007A78"/>
          <w:sz w:val="26"/>
        </w:rPr>
        <w:t>6. RETURN ON INVESTMENT</w:t>
      </w:r>
    </w:p>
    <w:p>
      <w:pPr>
        <w:spacing w:before="0" w:after="120"/>
        <w:jc w:val="left"/>
      </w:pPr>
      <w:r>
        <w:rPr>
          <w:rFonts w:ascii="Arial" w:hAnsi="Arial"/>
          <w:b w:val="0"/>
          <w:i w:val="0"/>
          <w:color w:val="1F1F1F"/>
          <w:sz w:val="21"/>
        </w:rPr>
        <w:t>Blueprint B delivers the same ROI channels as Blueprint A, but faster.</w:t>
      </w:r>
    </w:p>
    <w:p>
      <w:pPr>
        <w:spacing w:before="200" w:after="60"/>
      </w:pPr>
      <w:r>
        <w:rPr>
          <w:rFonts w:ascii="Arial" w:hAnsi="Arial"/>
          <w:b/>
          <w:color w:val="007A78"/>
          <w:sz w:val="22"/>
        </w:rPr>
        <w:t>Channel 1 — Delivery Efficiency (Immediate, from first engagement)</w:t>
      </w:r>
    </w:p>
    <w:p>
      <w:pPr>
        <w:spacing w:before="0" w:after="120"/>
        <w:jc w:val="left"/>
      </w:pPr>
      <w:r>
        <w:rPr>
          <w:rFonts w:ascii="Arial" w:hAnsi="Arial"/>
          <w:b w:val="0"/>
          <w:i w:val="0"/>
          <w:color w:val="1F1F1F"/>
          <w:sz w:val="21"/>
        </w:rPr>
        <w:t>Eliminating manual status reporting saves 2–4 hours per week per engagement. Across 10 active engagements per year, that is 1,040–2,080 hours of recovered time annually — more than the Blueprint B investment in year one.</w:t>
      </w:r>
    </w:p>
    <w:p>
      <w:pPr>
        <w:spacing w:before="200" w:after="60"/>
      </w:pPr>
      <w:r>
        <w:rPr>
          <w:rFonts w:ascii="Arial" w:hAnsi="Arial"/>
          <w:b/>
          <w:color w:val="007A78"/>
          <w:sz w:val="22"/>
        </w:rPr>
        <w:t>Channel 2 — Earlier Sales Differentiation</w:t>
      </w:r>
    </w:p>
    <w:p>
      <w:pPr>
        <w:spacing w:before="0" w:after="120"/>
        <w:jc w:val="left"/>
      </w:pPr>
      <w:r>
        <w:rPr>
          <w:rFonts w:ascii="Arial" w:hAnsi="Arial"/>
          <w:b w:val="0"/>
          <w:i w:val="0"/>
          <w:color w:val="1F1F1F"/>
          <w:sz w:val="21"/>
        </w:rPr>
        <w:t>Blueprint B is live 6–8 weeks earlier than Blueprint A. The delivery portal is available to show in proposals and demos from September 2026 rather than October–November. In a competitive sales cycle, that matters.</w:t>
      </w:r>
    </w:p>
    <w:p>
      <w:pPr>
        <w:spacing w:before="200" w:after="60"/>
      </w:pPr>
      <w:r>
        <w:rPr>
          <w:rFonts w:ascii="Arial" w:hAnsi="Arial"/>
          <w:b/>
          <w:color w:val="007A78"/>
          <w:sz w:val="22"/>
        </w:rPr>
        <w:t>Channel 3 — Validated Design Before Larger Investment</w:t>
      </w:r>
    </w:p>
    <w:p>
      <w:pPr>
        <w:spacing w:before="0" w:after="160"/>
        <w:jc w:val="left"/>
      </w:pPr>
      <w:r>
        <w:rPr>
          <w:rFonts w:ascii="Arial" w:hAnsi="Arial"/>
          <w:b w:val="0"/>
          <w:i w:val="0"/>
          <w:color w:val="1F1F1F"/>
          <w:sz w:val="21"/>
        </w:rPr>
        <w:t>Blueprint B functions as a paid proof-of-concept. If the platform design is validated after 2–3 engagements, the decision to invest in Blueprint A's additional 440 hours is made with evidence, not assumption. If changes are needed, the cost of pivoting is dramatically lower at the table-extends stage.</w:t>
      </w:r>
    </w:p>
    <w:p>
      <w:pPr>
        <w:spacing w:before="320" w:after="100"/>
        <w:pBdr>
          <w:bottom w:val="single" w:sz="6" w:space="1" w:color="007A78"/>
        </w:pBdr>
      </w:pPr>
      <w:r>
        <w:rPr>
          <w:rFonts w:ascii="Arial" w:hAnsi="Arial"/>
          <w:b/>
          <w:color w:val="007A78"/>
          <w:sz w:val="26"/>
        </w:rPr>
        <w:t>7. BLUEPRINT B VS. BLUEPRINT A AT A GLANCE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592"/>
            <w:shd w:val="clear" w:color="auto" w:fill="007A78"/>
          </w:tcPr>
          <w:p>
            <w:pPr>
              <w:spacing w:before="80" w:after="80"/>
              <w:ind w:left="72"/>
            </w:pPr>
            <w:r>
              <w:rPr>
                <w:rFonts w:ascii="Arial" w:hAnsi="Arial"/>
                <w:b/>
                <w:color w:val="FFFFFF"/>
                <w:sz w:val="20"/>
              </w:rPr>
              <w:t>Factor</w:t>
            </w:r>
          </w:p>
        </w:tc>
        <w:tc>
          <w:tcPr>
            <w:tcW w:type="dxa" w:w="3384"/>
            <w:shd w:val="clear" w:color="auto" w:fill="007A78"/>
          </w:tcPr>
          <w:p>
            <w:pPr>
              <w:spacing w:before="80" w:after="80"/>
              <w:ind w:left="72"/>
            </w:pPr>
            <w:r>
              <w:rPr>
                <w:rFonts w:ascii="Arial" w:hAnsi="Arial"/>
                <w:b/>
                <w:color w:val="FFFFFF"/>
                <w:sz w:val="20"/>
              </w:rPr>
              <w:t>Blueprint B (This Brief)</w:t>
            </w:r>
          </w:p>
        </w:tc>
        <w:tc>
          <w:tcPr>
            <w:tcW w:type="dxa" w:w="3384"/>
            <w:shd w:val="clear" w:color="auto" w:fill="007A78"/>
          </w:tcPr>
          <w:p>
            <w:pPr>
              <w:spacing w:before="80" w:after="80"/>
              <w:ind w:left="72"/>
            </w:pPr>
            <w:r>
              <w:rPr>
                <w:rFonts w:ascii="Arial" w:hAnsi="Arial"/>
                <w:b/>
                <w:color w:val="FFFFFF"/>
                <w:sz w:val="20"/>
              </w:rPr>
              <w:t>Blueprint A (Custom App)</w:t>
            </w:r>
          </w:p>
        </w:tc>
      </w:tr>
      <w:tr>
        <w:tc>
          <w:tcPr>
            <w:tcW w:type="dxa" w:w="2592"/>
            <w:shd w:val="clear" w:color="auto" w:fill="F2F2F2"/>
          </w:tcPr>
          <w:p>
            <w:pPr>
              <w:spacing w:before="60" w:after="60"/>
              <w:ind w:left="72"/>
            </w:pPr>
            <w:r>
              <w:rPr>
                <w:rFonts w:ascii="Arial" w:hAnsi="Arial"/>
                <w:color w:val="1F1F1F"/>
                <w:sz w:val="19"/>
              </w:rPr>
              <w:t>Build Duration</w:t>
            </w:r>
          </w:p>
        </w:tc>
        <w:tc>
          <w:tcPr>
            <w:tcW w:type="dxa" w:w="3384"/>
            <w:shd w:val="clear" w:color="auto" w:fill="F2F2F2"/>
          </w:tcPr>
          <w:p>
            <w:pPr>
              <w:spacing w:before="60" w:after="60"/>
              <w:ind w:left="72"/>
            </w:pPr>
            <w:r>
              <w:rPr>
                <w:rFonts w:ascii="Arial" w:hAnsi="Arial"/>
                <w:color w:val="1F1F1F"/>
                <w:sz w:val="19"/>
              </w:rPr>
              <w:t>10–12 weeks</w:t>
            </w:r>
          </w:p>
        </w:tc>
        <w:tc>
          <w:tcPr>
            <w:tcW w:type="dxa" w:w="3384"/>
            <w:shd w:val="clear" w:color="auto" w:fill="F2F2F2"/>
          </w:tcPr>
          <w:p>
            <w:pPr>
              <w:spacing w:before="60" w:after="60"/>
              <w:ind w:left="72"/>
            </w:pPr>
            <w:r>
              <w:rPr>
                <w:rFonts w:ascii="Arial" w:hAnsi="Arial"/>
                <w:color w:val="1F1F1F"/>
                <w:sz w:val="19"/>
              </w:rPr>
              <w:t>16–18 weeks</w:t>
            </w:r>
          </w:p>
        </w:tc>
      </w:tr>
      <w:tr>
        <w:tc>
          <w:tcPr>
            <w:tcW w:type="dxa" w:w="2592"/>
            <w:shd w:val="clear" w:color="auto" w:fill="FFFFFF"/>
          </w:tcPr>
          <w:p>
            <w:pPr>
              <w:spacing w:before="60" w:after="60"/>
              <w:ind w:left="72"/>
            </w:pPr>
            <w:r>
              <w:rPr>
                <w:rFonts w:ascii="Arial" w:hAnsi="Arial"/>
                <w:color w:val="1F1F1F"/>
                <w:sz w:val="19"/>
              </w:rPr>
              <w:t>Total Investment</w:t>
            </w:r>
          </w:p>
        </w:tc>
        <w:tc>
          <w:tcPr>
            <w:tcW w:type="dxa" w:w="3384"/>
            <w:shd w:val="clear" w:color="auto" w:fill="FFFFFF"/>
          </w:tcPr>
          <w:p>
            <w:pPr>
              <w:spacing w:before="60" w:after="60"/>
              <w:ind w:left="72"/>
            </w:pPr>
            <w:r>
              <w:rPr>
                <w:rFonts w:ascii="Arial" w:hAnsi="Arial"/>
                <w:color w:val="1F1F1F"/>
                <w:sz w:val="19"/>
              </w:rPr>
              <w:t>~960 hours</w:t>
            </w:r>
          </w:p>
        </w:tc>
        <w:tc>
          <w:tcPr>
            <w:tcW w:type="dxa" w:w="3384"/>
            <w:shd w:val="clear" w:color="auto" w:fill="FFFFFF"/>
          </w:tcPr>
          <w:p>
            <w:pPr>
              <w:spacing w:before="60" w:after="60"/>
              <w:ind w:left="72"/>
            </w:pPr>
            <w:r>
              <w:rPr>
                <w:rFonts w:ascii="Arial" w:hAnsi="Arial"/>
                <w:color w:val="1F1F1F"/>
                <w:sz w:val="19"/>
              </w:rPr>
              <w:t>~1,400 hours</w:t>
            </w:r>
          </w:p>
        </w:tc>
      </w:tr>
      <w:tr>
        <w:tc>
          <w:tcPr>
            <w:tcW w:type="dxa" w:w="2592"/>
            <w:shd w:val="clear" w:color="auto" w:fill="F2F2F2"/>
          </w:tcPr>
          <w:p>
            <w:pPr>
              <w:spacing w:before="60" w:after="60"/>
              <w:ind w:left="72"/>
            </w:pPr>
            <w:r>
              <w:rPr>
                <w:rFonts w:ascii="Arial" w:hAnsi="Arial"/>
                <w:color w:val="1F1F1F"/>
                <w:sz w:val="19"/>
              </w:rPr>
              <w:t>Hours Saved</w:t>
            </w:r>
          </w:p>
        </w:tc>
        <w:tc>
          <w:tcPr>
            <w:tcW w:type="dxa" w:w="3384"/>
            <w:shd w:val="clear" w:color="auto" w:fill="F2F2F2"/>
          </w:tcPr>
          <w:p>
            <w:pPr>
              <w:spacing w:before="60" w:after="60"/>
              <w:ind w:left="72"/>
            </w:pPr>
            <w:r>
              <w:rPr>
                <w:rFonts w:ascii="Arial" w:hAnsi="Arial"/>
                <w:color w:val="1F1F1F"/>
                <w:sz w:val="19"/>
              </w:rPr>
              <w:t>~440 hours (31% less)</w:t>
            </w:r>
          </w:p>
        </w:tc>
        <w:tc>
          <w:tcPr>
            <w:tcW w:type="dxa" w:w="3384"/>
            <w:shd w:val="clear" w:color="auto" w:fill="F2F2F2"/>
          </w:tcPr>
          <w:p>
            <w:pPr>
              <w:spacing w:before="60" w:after="60"/>
              <w:ind w:left="72"/>
            </w:pPr>
            <w:r>
              <w:rPr>
                <w:rFonts w:ascii="Arial" w:hAnsi="Arial"/>
                <w:color w:val="1F1F1F"/>
                <w:sz w:val="19"/>
              </w:rPr>
              <w:t>—</w:t>
            </w:r>
          </w:p>
        </w:tc>
      </w:tr>
      <w:tr>
        <w:tc>
          <w:tcPr>
            <w:tcW w:type="dxa" w:w="2592"/>
            <w:shd w:val="clear" w:color="auto" w:fill="FFFFFF"/>
          </w:tcPr>
          <w:p>
            <w:pPr>
              <w:spacing w:before="60" w:after="60"/>
              <w:ind w:left="72"/>
            </w:pPr>
            <w:r>
              <w:rPr>
                <w:rFonts w:ascii="Arial" w:hAnsi="Arial"/>
                <w:color w:val="1F1F1F"/>
                <w:sz w:val="19"/>
              </w:rPr>
              <w:t>Weeks to First Deployment</w:t>
            </w:r>
          </w:p>
        </w:tc>
        <w:tc>
          <w:tcPr>
            <w:tcW w:type="dxa" w:w="3384"/>
            <w:shd w:val="clear" w:color="auto" w:fill="FFFFFF"/>
          </w:tcPr>
          <w:p>
            <w:pPr>
              <w:spacing w:before="60" w:after="60"/>
              <w:ind w:left="72"/>
            </w:pPr>
            <w:r>
              <w:rPr>
                <w:rFonts w:ascii="Arial" w:hAnsi="Arial"/>
                <w:color w:val="1F1F1F"/>
                <w:sz w:val="19"/>
              </w:rPr>
              <w:t>~12 weeks</w:t>
            </w:r>
          </w:p>
        </w:tc>
        <w:tc>
          <w:tcPr>
            <w:tcW w:type="dxa" w:w="3384"/>
            <w:shd w:val="clear" w:color="auto" w:fill="FFFFFF"/>
          </w:tcPr>
          <w:p>
            <w:pPr>
              <w:spacing w:before="60" w:after="60"/>
              <w:ind w:left="72"/>
            </w:pPr>
            <w:r>
              <w:rPr>
                <w:rFonts w:ascii="Arial" w:hAnsi="Arial"/>
                <w:color w:val="1F1F1F"/>
                <w:sz w:val="19"/>
              </w:rPr>
              <w:t>~18 weeks</w:t>
            </w:r>
          </w:p>
        </w:tc>
      </w:tr>
      <w:tr>
        <w:tc>
          <w:tcPr>
            <w:tcW w:type="dxa" w:w="2592"/>
            <w:shd w:val="clear" w:color="auto" w:fill="F2F2F2"/>
          </w:tcPr>
          <w:p>
            <w:pPr>
              <w:spacing w:before="60" w:after="60"/>
              <w:ind w:left="72"/>
            </w:pPr>
            <w:r>
              <w:rPr>
                <w:rFonts w:ascii="Arial" w:hAnsi="Arial"/>
                <w:color w:val="1F1F1F"/>
                <w:sz w:val="19"/>
              </w:rPr>
              <w:t>Lead Developer Profile</w:t>
            </w:r>
          </w:p>
        </w:tc>
        <w:tc>
          <w:tcPr>
            <w:tcW w:type="dxa" w:w="3384"/>
            <w:shd w:val="clear" w:color="auto" w:fill="F2F2F2"/>
          </w:tcPr>
          <w:p>
            <w:pPr>
              <w:spacing w:before="60" w:after="60"/>
              <w:ind w:left="72"/>
            </w:pPr>
            <w:r>
              <w:rPr>
                <w:rFonts w:ascii="Arial" w:hAnsi="Arial"/>
                <w:color w:val="1F1F1F"/>
                <w:sz w:val="19"/>
              </w:rPr>
              <w:t>Configurator</w:t>
            </w:r>
          </w:p>
        </w:tc>
        <w:tc>
          <w:tcPr>
            <w:tcW w:type="dxa" w:w="3384"/>
            <w:shd w:val="clear" w:color="auto" w:fill="F2F2F2"/>
          </w:tcPr>
          <w:p>
            <w:pPr>
              <w:spacing w:before="60" w:after="60"/>
              <w:ind w:left="72"/>
            </w:pPr>
            <w:r>
              <w:rPr>
                <w:rFonts w:ascii="Arial" w:hAnsi="Arial"/>
                <w:color w:val="1F1F1F"/>
                <w:sz w:val="19"/>
              </w:rPr>
              <w:t>App developer (Studio)</w:t>
            </w:r>
          </w:p>
        </w:tc>
      </w:tr>
      <w:tr>
        <w:tc>
          <w:tcPr>
            <w:tcW w:type="dxa" w:w="2592"/>
            <w:shd w:val="clear" w:color="auto" w:fill="FFFFFF"/>
          </w:tcPr>
          <w:p>
            <w:pPr>
              <w:spacing w:before="60" w:after="60"/>
              <w:ind w:left="72"/>
            </w:pPr>
            <w:r>
              <w:rPr>
                <w:rFonts w:ascii="Arial" w:hAnsi="Arial"/>
                <w:color w:val="1F1F1F"/>
                <w:sz w:val="19"/>
              </w:rPr>
              <w:t>App Engine SKU Required</w:t>
            </w:r>
          </w:p>
        </w:tc>
        <w:tc>
          <w:tcPr>
            <w:tcW w:type="dxa" w:w="3384"/>
            <w:shd w:val="clear" w:color="auto" w:fill="FFFFFF"/>
          </w:tcPr>
          <w:p>
            <w:pPr>
              <w:spacing w:before="60" w:after="60"/>
              <w:ind w:left="72"/>
            </w:pPr>
            <w:r>
              <w:rPr>
                <w:rFonts w:ascii="Arial" w:hAnsi="Arial"/>
                <w:color w:val="1F1F1F"/>
                <w:sz w:val="19"/>
              </w:rPr>
              <w:t>No</w:t>
            </w:r>
          </w:p>
        </w:tc>
        <w:tc>
          <w:tcPr>
            <w:tcW w:type="dxa" w:w="3384"/>
            <w:shd w:val="clear" w:color="auto" w:fill="FFFFFF"/>
          </w:tcPr>
          <w:p>
            <w:pPr>
              <w:spacing w:before="60" w:after="60"/>
              <w:ind w:left="72"/>
            </w:pPr>
            <w:r>
              <w:rPr>
                <w:rFonts w:ascii="Arial" w:hAnsi="Arial"/>
                <w:color w:val="1F1F1F"/>
                <w:sz w:val="19"/>
              </w:rPr>
              <w:t>Yes</w:t>
            </w:r>
          </w:p>
        </w:tc>
      </w:tr>
      <w:tr>
        <w:tc>
          <w:tcPr>
            <w:tcW w:type="dxa" w:w="2592"/>
            <w:shd w:val="clear" w:color="auto" w:fill="F2F2F2"/>
          </w:tcPr>
          <w:p>
            <w:pPr>
              <w:spacing w:before="60" w:after="60"/>
              <w:ind w:left="72"/>
            </w:pPr>
            <w:r>
              <w:rPr>
                <w:rFonts w:ascii="Arial" w:hAnsi="Arial"/>
                <w:color w:val="1F1F1F"/>
                <w:sz w:val="19"/>
              </w:rPr>
              <w:t>Upgrade Risk</w:t>
            </w:r>
          </w:p>
        </w:tc>
        <w:tc>
          <w:tcPr>
            <w:tcW w:type="dxa" w:w="3384"/>
            <w:shd w:val="clear" w:color="auto" w:fill="F2F2F2"/>
          </w:tcPr>
          <w:p>
            <w:pPr>
              <w:spacing w:before="60" w:after="60"/>
              <w:ind w:left="72"/>
            </w:pPr>
            <w:r>
              <w:rPr>
                <w:rFonts w:ascii="Arial" w:hAnsi="Arial"/>
                <w:color w:val="1F1F1F"/>
                <w:sz w:val="19"/>
              </w:rPr>
              <w:t>Medium (native tables)</w:t>
            </w:r>
          </w:p>
        </w:tc>
        <w:tc>
          <w:tcPr>
            <w:tcW w:type="dxa" w:w="3384"/>
            <w:shd w:val="clear" w:color="auto" w:fill="F2F2F2"/>
          </w:tcPr>
          <w:p>
            <w:pPr>
              <w:spacing w:before="60" w:after="60"/>
              <w:ind w:left="72"/>
            </w:pPr>
            <w:r>
              <w:rPr>
                <w:rFonts w:ascii="Arial" w:hAnsi="Arial"/>
                <w:color w:val="1F1F1F"/>
                <w:sz w:val="19"/>
              </w:rPr>
              <w:t>Low (scoped app)</w:t>
            </w:r>
          </w:p>
        </w:tc>
      </w:tr>
      <w:tr>
        <w:tc>
          <w:tcPr>
            <w:tcW w:type="dxa" w:w="2592"/>
            <w:shd w:val="clear" w:color="auto" w:fill="FFFFFF"/>
          </w:tcPr>
          <w:p>
            <w:pPr>
              <w:spacing w:before="60" w:after="60"/>
              <w:ind w:left="72"/>
            </w:pPr>
            <w:r>
              <w:rPr>
                <w:rFonts w:ascii="Arial" w:hAnsi="Arial"/>
                <w:color w:val="1F1F1F"/>
                <w:sz w:val="19"/>
              </w:rPr>
              <w:t>ServiceNow Store Path</w:t>
            </w:r>
          </w:p>
        </w:tc>
        <w:tc>
          <w:tcPr>
            <w:tcW w:type="dxa" w:w="3384"/>
            <w:shd w:val="clear" w:color="auto" w:fill="FFFFFF"/>
          </w:tcPr>
          <w:p>
            <w:pPr>
              <w:spacing w:before="60" w:after="60"/>
              <w:ind w:left="72"/>
            </w:pPr>
            <w:r>
              <w:rPr>
                <w:rFonts w:ascii="Arial" w:hAnsi="Arial"/>
                <w:color w:val="1F1F1F"/>
                <w:sz w:val="19"/>
              </w:rPr>
              <w:t>Harder — use update set</w:t>
            </w:r>
          </w:p>
        </w:tc>
        <w:tc>
          <w:tcPr>
            <w:tcW w:type="dxa" w:w="3384"/>
            <w:shd w:val="clear" w:color="auto" w:fill="FFFFFF"/>
          </w:tcPr>
          <w:p>
            <w:pPr>
              <w:spacing w:before="60" w:after="60"/>
              <w:ind w:left="72"/>
            </w:pPr>
            <w:r>
              <w:rPr>
                <w:rFonts w:ascii="Arial" w:hAnsi="Arial"/>
                <w:color w:val="1F1F1F"/>
                <w:sz w:val="19"/>
              </w:rPr>
              <w:t>Clean — Store-ready</w:t>
            </w:r>
          </w:p>
        </w:tc>
      </w:tr>
      <w:tr>
        <w:tc>
          <w:tcPr>
            <w:tcW w:type="dxa" w:w="2592"/>
            <w:shd w:val="clear" w:color="auto" w:fill="F2F2F2"/>
          </w:tcPr>
          <w:p>
            <w:pPr>
              <w:spacing w:before="60" w:after="60"/>
              <w:ind w:left="72"/>
            </w:pPr>
            <w:r>
              <w:rPr>
                <w:rFonts w:ascii="Arial" w:hAnsi="Arial"/>
                <w:color w:val="1F1F1F"/>
                <w:sz w:val="19"/>
              </w:rPr>
              <w:t>Best Strategic Move</w:t>
            </w:r>
          </w:p>
        </w:tc>
        <w:tc>
          <w:tcPr>
            <w:tcW w:type="dxa" w:w="3384"/>
            <w:shd w:val="clear" w:color="auto" w:fill="F2F2F2"/>
          </w:tcPr>
          <w:p>
            <w:pPr>
              <w:spacing w:before="60" w:after="60"/>
              <w:ind w:left="72"/>
            </w:pPr>
            <w:r>
              <w:rPr>
                <w:rFonts w:ascii="Arial" w:hAnsi="Arial"/>
                <w:color w:val="1F1F1F"/>
                <w:sz w:val="19"/>
              </w:rPr>
              <w:t>Prove design, deploy fast</w:t>
            </w:r>
          </w:p>
        </w:tc>
        <w:tc>
          <w:tcPr>
            <w:tcW w:type="dxa" w:w="3384"/>
            <w:shd w:val="clear" w:color="auto" w:fill="F2F2F2"/>
          </w:tcPr>
          <w:p>
            <w:pPr>
              <w:spacing w:before="60" w:after="60"/>
              <w:ind w:left="72"/>
            </w:pPr>
            <w:r>
              <w:rPr>
                <w:rFonts w:ascii="Arial" w:hAnsi="Arial"/>
                <w:color w:val="1F1F1F"/>
                <w:sz w:val="19"/>
              </w:rPr>
              <w:t>Build the product right</w:t>
            </w:r>
          </w:p>
        </w:tc>
      </w:tr>
    </w:tbl>
    <w:p>
      <w:pPr>
        <w:spacing w:after="100"/>
      </w:pPr>
    </w:p>
    <w:p>
      <w:pPr>
        <w:spacing w:before="320" w:after="100"/>
        <w:pBdr>
          <w:bottom w:val="single" w:sz="6" w:space="1" w:color="007A78"/>
        </w:pBdr>
      </w:pPr>
      <w:r>
        <w:rPr>
          <w:rFonts w:ascii="Arial" w:hAnsi="Arial"/>
          <w:b/>
          <w:color w:val="007A78"/>
          <w:sz w:val="26"/>
        </w:rPr>
        <w:t>8. RECOMMENDATION &amp; DECISION REQUIRED</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8F5F5"/>
          </w:tcPr>
          <w:p>
            <w:pPr>
              <w:spacing w:before="100" w:after="100"/>
              <w:ind w:left="144"/>
            </w:pPr>
            <w:r>
              <w:rPr>
                <w:rFonts w:ascii="Arial" w:hAnsi="Arial"/>
                <w:b/>
                <w:color w:val="007A78"/>
                <w:sz w:val="20"/>
              </w:rPr>
              <w:t xml:space="preserve">Recommendation:  </w:t>
            </w:r>
            <w:r>
              <w:rPr>
                <w:rFonts w:ascii="Arial" w:hAnsi="Arial"/>
                <w:color w:val="1F1F1F"/>
                <w:sz w:val="20"/>
              </w:rPr>
              <w:t>Approve Blueprint B as the initial build. Deploy to the first real engagement by September 2026. After 2–3 engagements of validated use, assess whether Blueprint A's additional investment is warranted for the commercial product and Store path. This is not a compromise — it is a disciplined staged investment in a product we are not yet sure the market will buy.</w:t>
            </w:r>
          </w:p>
        </w:tc>
      </w:tr>
    </w:tbl>
    <w:p>
      <w:pPr>
        <w:spacing w:after="80"/>
      </w:pPr>
    </w:p>
    <w:p>
      <w:pPr>
        <w:spacing w:before="0" w:after="80"/>
        <w:jc w:val="left"/>
      </w:pPr>
      <w:r>
        <w:rPr>
          <w:rFonts w:ascii="Arial" w:hAnsi="Arial"/>
          <w:b/>
          <w:i w:val="0"/>
          <w:color w:val="1F1F1F"/>
          <w:sz w:val="21"/>
        </w:rPr>
        <w:t>Decisions required from this briefing:</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04"/>
            <w:shd w:val="clear" w:color="auto" w:fill="007A78"/>
          </w:tcPr>
          <w:p>
            <w:pPr>
              <w:spacing w:before="80" w:after="80"/>
              <w:ind w:left="72"/>
            </w:pPr>
            <w:r>
              <w:rPr>
                <w:rFonts w:ascii="Arial" w:hAnsi="Arial"/>
                <w:b/>
                <w:color w:val="FFFFFF"/>
                <w:sz w:val="20"/>
              </w:rPr>
              <w:t>Decision</w:t>
            </w:r>
          </w:p>
        </w:tc>
        <w:tc>
          <w:tcPr>
            <w:tcW w:type="dxa" w:w="2736"/>
            <w:shd w:val="clear" w:color="auto" w:fill="007A78"/>
          </w:tcPr>
          <w:p>
            <w:pPr>
              <w:spacing w:before="80" w:after="80"/>
              <w:ind w:left="72"/>
            </w:pPr>
            <w:r>
              <w:rPr>
                <w:rFonts w:ascii="Arial" w:hAnsi="Arial"/>
                <w:b/>
                <w:color w:val="FFFFFF"/>
                <w:sz w:val="20"/>
              </w:rPr>
              <w:t>Options</w:t>
            </w:r>
          </w:p>
        </w:tc>
        <w:tc>
          <w:tcPr>
            <w:tcW w:type="dxa" w:w="2160"/>
            <w:shd w:val="clear" w:color="auto" w:fill="007A78"/>
          </w:tcPr>
          <w:p>
            <w:pPr>
              <w:spacing w:before="80" w:after="80"/>
              <w:ind w:left="72"/>
            </w:pPr>
            <w:r>
              <w:rPr>
                <w:rFonts w:ascii="Arial" w:hAnsi="Arial"/>
                <w:b/>
                <w:color w:val="FFFFFF"/>
                <w:sz w:val="20"/>
              </w:rPr>
              <w:t>Owner</w:t>
            </w:r>
          </w:p>
        </w:tc>
        <w:tc>
          <w:tcPr>
            <w:tcW w:type="dxa" w:w="2160"/>
            <w:shd w:val="clear" w:color="auto" w:fill="007A78"/>
          </w:tcPr>
          <w:p>
            <w:pPr>
              <w:spacing w:before="80" w:after="80"/>
              <w:ind w:left="72"/>
            </w:pPr>
            <w:r>
              <w:rPr>
                <w:rFonts w:ascii="Arial" w:hAnsi="Arial"/>
                <w:b/>
                <w:color w:val="FFFFFF"/>
                <w:sz w:val="20"/>
              </w:rPr>
              <w:t>Needed By</w:t>
            </w:r>
          </w:p>
        </w:tc>
      </w:tr>
      <w:tr>
        <w:tc>
          <w:tcPr>
            <w:tcW w:type="dxa" w:w="2304"/>
            <w:shd w:val="clear" w:color="auto" w:fill="F2F2F2"/>
          </w:tcPr>
          <w:p>
            <w:pPr>
              <w:spacing w:before="60" w:after="60"/>
              <w:ind w:left="72"/>
            </w:pPr>
            <w:r>
              <w:rPr>
                <w:rFonts w:ascii="Arial" w:hAnsi="Arial"/>
                <w:color w:val="1F1F1F"/>
                <w:sz w:val="19"/>
              </w:rPr>
              <w:t>Architecture approach</w:t>
            </w:r>
          </w:p>
        </w:tc>
        <w:tc>
          <w:tcPr>
            <w:tcW w:type="dxa" w:w="2736"/>
            <w:shd w:val="clear" w:color="auto" w:fill="F2F2F2"/>
          </w:tcPr>
          <w:p>
            <w:pPr>
              <w:spacing w:before="60" w:after="60"/>
              <w:ind w:left="72"/>
            </w:pPr>
            <w:r>
              <w:rPr>
                <w:rFonts w:ascii="Arial" w:hAnsi="Arial"/>
                <w:color w:val="1F1F1F"/>
                <w:sz w:val="19"/>
              </w:rPr>
              <w:t>Blueprint B now or Blueprint A from day one</w:t>
            </w:r>
          </w:p>
        </w:tc>
        <w:tc>
          <w:tcPr>
            <w:tcW w:type="dxa" w:w="2160"/>
            <w:shd w:val="clear" w:color="auto" w:fill="F2F2F2"/>
          </w:tcPr>
          <w:p>
            <w:pPr>
              <w:spacing w:before="60" w:after="60"/>
              <w:ind w:left="72"/>
            </w:pPr>
            <w:r>
              <w:rPr>
                <w:rFonts w:ascii="Arial" w:hAnsi="Arial"/>
                <w:color w:val="1F1F1F"/>
                <w:sz w:val="19"/>
              </w:rPr>
              <w:t>Senior Director + Shawn</w:t>
            </w:r>
          </w:p>
        </w:tc>
        <w:tc>
          <w:tcPr>
            <w:tcW w:type="dxa" w:w="2160"/>
            <w:shd w:val="clear" w:color="auto" w:fill="F2F2F2"/>
          </w:tcPr>
          <w:p>
            <w:pPr>
              <w:spacing w:before="60" w:after="60"/>
              <w:ind w:left="72"/>
            </w:pPr>
            <w:r>
              <w:rPr>
                <w:rFonts w:ascii="Arial" w:hAnsi="Arial"/>
                <w:color w:val="1F1F1F"/>
                <w:sz w:val="19"/>
              </w:rPr>
              <w:t>End of architecture review</w:t>
            </w:r>
          </w:p>
        </w:tc>
      </w:tr>
      <w:tr>
        <w:tc>
          <w:tcPr>
            <w:tcW w:type="dxa" w:w="2304"/>
            <w:shd w:val="clear" w:color="auto" w:fill="FFFFFF"/>
          </w:tcPr>
          <w:p>
            <w:pPr>
              <w:spacing w:before="60" w:after="60"/>
              <w:ind w:left="72"/>
            </w:pPr>
            <w:r>
              <w:rPr>
                <w:rFonts w:ascii="Arial" w:hAnsi="Arial"/>
                <w:color w:val="1F1F1F"/>
                <w:sz w:val="19"/>
              </w:rPr>
              <w:t>Lead developer resource</w:t>
            </w:r>
          </w:p>
        </w:tc>
        <w:tc>
          <w:tcPr>
            <w:tcW w:type="dxa" w:w="2736"/>
            <w:shd w:val="clear" w:color="auto" w:fill="FFFFFF"/>
          </w:tcPr>
          <w:p>
            <w:pPr>
              <w:spacing w:before="60" w:after="60"/>
              <w:ind w:left="72"/>
            </w:pPr>
            <w:r>
              <w:rPr>
                <w:rFonts w:ascii="Arial" w:hAnsi="Arial"/>
                <w:color w:val="1F1F1F"/>
                <w:sz w:val="19"/>
              </w:rPr>
              <w:t>Identify configurator-level developer</w:t>
            </w:r>
          </w:p>
        </w:tc>
        <w:tc>
          <w:tcPr>
            <w:tcW w:type="dxa" w:w="2160"/>
            <w:shd w:val="clear" w:color="auto" w:fill="FFFFFF"/>
          </w:tcPr>
          <w:p>
            <w:pPr>
              <w:spacing w:before="60" w:after="60"/>
              <w:ind w:left="72"/>
            </w:pPr>
            <w:r>
              <w:rPr>
                <w:rFonts w:ascii="Arial" w:hAnsi="Arial"/>
                <w:color w:val="1F1F1F"/>
                <w:sz w:val="19"/>
              </w:rPr>
              <w:t>Senior Director</w:t>
            </w:r>
          </w:p>
        </w:tc>
        <w:tc>
          <w:tcPr>
            <w:tcW w:type="dxa" w:w="2160"/>
            <w:shd w:val="clear" w:color="auto" w:fill="FFFFFF"/>
          </w:tcPr>
          <w:p>
            <w:pPr>
              <w:spacing w:before="60" w:after="60"/>
              <w:ind w:left="72"/>
            </w:pPr>
            <w:r>
              <w:rPr>
                <w:rFonts w:ascii="Arial" w:hAnsi="Arial"/>
                <w:color w:val="1F1F1F"/>
                <w:sz w:val="19"/>
              </w:rPr>
              <w:t>1 week post-approval</w:t>
            </w:r>
          </w:p>
        </w:tc>
      </w:tr>
      <w:tr>
        <w:tc>
          <w:tcPr>
            <w:tcW w:type="dxa" w:w="2304"/>
            <w:shd w:val="clear" w:color="auto" w:fill="F2F2F2"/>
          </w:tcPr>
          <w:p>
            <w:pPr>
              <w:spacing w:before="60" w:after="60"/>
              <w:ind w:left="72"/>
            </w:pPr>
            <w:r>
              <w:rPr>
                <w:rFonts w:ascii="Arial" w:hAnsi="Arial"/>
                <w:color w:val="1F1F1F"/>
                <w:sz w:val="19"/>
              </w:rPr>
              <w:t>GRC fallback policy</w:t>
            </w:r>
          </w:p>
        </w:tc>
        <w:tc>
          <w:tcPr>
            <w:tcW w:type="dxa" w:w="2736"/>
            <w:shd w:val="clear" w:color="auto" w:fill="F2F2F2"/>
          </w:tcPr>
          <w:p>
            <w:pPr>
              <w:spacing w:before="60" w:after="60"/>
              <w:ind w:left="72"/>
            </w:pPr>
            <w:r>
              <w:rPr>
                <w:rFonts w:ascii="Arial" w:hAnsi="Arial"/>
                <w:color w:val="1F1F1F"/>
                <w:sz w:val="19"/>
              </w:rPr>
              <w:t>Standard: use sn_risk_risk; fallback: task</w:t>
            </w:r>
          </w:p>
        </w:tc>
        <w:tc>
          <w:tcPr>
            <w:tcW w:type="dxa" w:w="2160"/>
            <w:shd w:val="clear" w:color="auto" w:fill="F2F2F2"/>
          </w:tcPr>
          <w:p>
            <w:pPr>
              <w:spacing w:before="60" w:after="60"/>
              <w:ind w:left="72"/>
            </w:pPr>
            <w:r>
              <w:rPr>
                <w:rFonts w:ascii="Arial" w:hAnsi="Arial"/>
                <w:color w:val="1F1F1F"/>
                <w:sz w:val="19"/>
              </w:rPr>
              <w:t>Shawn</w:t>
            </w:r>
          </w:p>
        </w:tc>
        <w:tc>
          <w:tcPr>
            <w:tcW w:type="dxa" w:w="2160"/>
            <w:shd w:val="clear" w:color="auto" w:fill="F2F2F2"/>
          </w:tcPr>
          <w:p>
            <w:pPr>
              <w:spacing w:before="60" w:after="60"/>
              <w:ind w:left="72"/>
            </w:pPr>
            <w:r>
              <w:rPr>
                <w:rFonts w:ascii="Arial" w:hAnsi="Arial"/>
                <w:color w:val="1F1F1F"/>
                <w:sz w:val="19"/>
              </w:rPr>
              <w:t>Phase 0 — before extensions begin</w:t>
            </w:r>
          </w:p>
        </w:tc>
      </w:tr>
      <w:tr>
        <w:tc>
          <w:tcPr>
            <w:tcW w:type="dxa" w:w="2304"/>
            <w:shd w:val="clear" w:color="auto" w:fill="FFFFFF"/>
          </w:tcPr>
          <w:p>
            <w:pPr>
              <w:spacing w:before="60" w:after="60"/>
              <w:ind w:left="72"/>
            </w:pPr>
            <w:r>
              <w:rPr>
                <w:rFonts w:ascii="Arial" w:hAnsi="Arial"/>
                <w:color w:val="1F1F1F"/>
                <w:sz w:val="19"/>
              </w:rPr>
              <w:t>Phase 0 kickoff date</w:t>
            </w:r>
          </w:p>
        </w:tc>
        <w:tc>
          <w:tcPr>
            <w:tcW w:type="dxa" w:w="2736"/>
            <w:shd w:val="clear" w:color="auto" w:fill="FFFFFF"/>
          </w:tcPr>
          <w:p>
            <w:pPr>
              <w:spacing w:before="60" w:after="60"/>
              <w:ind w:left="72"/>
            </w:pPr>
            <w:r>
              <w:rPr>
                <w:rFonts w:ascii="Arial" w:hAnsi="Arial"/>
                <w:color w:val="1F1F1F"/>
                <w:sz w:val="19"/>
              </w:rPr>
              <w:t>Target: week of 01 Jun 2026</w:t>
            </w:r>
          </w:p>
        </w:tc>
        <w:tc>
          <w:tcPr>
            <w:tcW w:type="dxa" w:w="2160"/>
            <w:shd w:val="clear" w:color="auto" w:fill="FFFFFF"/>
          </w:tcPr>
          <w:p>
            <w:pPr>
              <w:spacing w:before="60" w:after="60"/>
              <w:ind w:left="72"/>
            </w:pPr>
            <w:r>
              <w:rPr>
                <w:rFonts w:ascii="Arial" w:hAnsi="Arial"/>
                <w:color w:val="1F1F1F"/>
                <w:sz w:val="19"/>
              </w:rPr>
              <w:t>Senior Director</w:t>
            </w:r>
          </w:p>
        </w:tc>
        <w:tc>
          <w:tcPr>
            <w:tcW w:type="dxa" w:w="2160"/>
            <w:shd w:val="clear" w:color="auto" w:fill="FFFFFF"/>
          </w:tcPr>
          <w:p>
            <w:pPr>
              <w:spacing w:before="60" w:after="60"/>
              <w:ind w:left="72"/>
            </w:pPr>
            <w:r>
              <w:rPr>
                <w:rFonts w:ascii="Arial" w:hAnsi="Arial"/>
                <w:color w:val="1F1F1F"/>
                <w:sz w:val="19"/>
              </w:rPr>
              <w:t>This week</w:t>
            </w:r>
          </w:p>
        </w:tc>
      </w:tr>
      <w:tr>
        <w:tc>
          <w:tcPr>
            <w:tcW w:type="dxa" w:w="2304"/>
            <w:shd w:val="clear" w:color="auto" w:fill="F2F2F2"/>
          </w:tcPr>
          <w:p>
            <w:pPr>
              <w:spacing w:before="60" w:after="60"/>
              <w:ind w:left="72"/>
            </w:pPr>
            <w:r>
              <w:rPr>
                <w:rFonts w:ascii="Arial" w:hAnsi="Arial"/>
                <w:color w:val="1F1F1F"/>
                <w:sz w:val="19"/>
              </w:rPr>
              <w:t>Trigger for Blueprint A move</w:t>
            </w:r>
          </w:p>
        </w:tc>
        <w:tc>
          <w:tcPr>
            <w:tcW w:type="dxa" w:w="2736"/>
            <w:shd w:val="clear" w:color="auto" w:fill="F2F2F2"/>
          </w:tcPr>
          <w:p>
            <w:pPr>
              <w:spacing w:before="60" w:after="60"/>
              <w:ind w:left="72"/>
            </w:pPr>
            <w:r>
              <w:rPr>
                <w:rFonts w:ascii="Arial" w:hAnsi="Arial"/>
                <w:color w:val="1F1F1F"/>
                <w:sz w:val="19"/>
              </w:rPr>
              <w:t>Define: after N engagements / Store intent</w:t>
            </w:r>
          </w:p>
        </w:tc>
        <w:tc>
          <w:tcPr>
            <w:tcW w:type="dxa" w:w="2160"/>
            <w:shd w:val="clear" w:color="auto" w:fill="F2F2F2"/>
          </w:tcPr>
          <w:p>
            <w:pPr>
              <w:spacing w:before="60" w:after="60"/>
              <w:ind w:left="72"/>
            </w:pPr>
            <w:r>
              <w:rPr>
                <w:rFonts w:ascii="Arial" w:hAnsi="Arial"/>
                <w:color w:val="1F1F1F"/>
                <w:sz w:val="19"/>
              </w:rPr>
              <w:t>Senior Director + Shawn</w:t>
            </w:r>
          </w:p>
        </w:tc>
        <w:tc>
          <w:tcPr>
            <w:tcW w:type="dxa" w:w="2160"/>
            <w:shd w:val="clear" w:color="auto" w:fill="F2F2F2"/>
          </w:tcPr>
          <w:p>
            <w:pPr>
              <w:spacing w:before="60" w:after="60"/>
              <w:ind w:left="72"/>
            </w:pPr>
            <w:r>
              <w:rPr>
                <w:rFonts w:ascii="Arial" w:hAnsi="Arial"/>
                <w:color w:val="1F1F1F"/>
                <w:sz w:val="19"/>
              </w:rPr>
              <w:t>By end of Phase 4</w:t>
            </w:r>
          </w:p>
        </w:tc>
      </w:tr>
    </w:tbl>
    <w:p>
      <w:pPr>
        <w:spacing w:after="100"/>
      </w:pPr>
    </w:p>
    <w:p/>
    <w:p>
      <w:pPr>
        <w:spacing w:before="40" w:after="40"/>
        <w:pBdr>
          <w:bottom w:val="single" w:sz="4" w:space="1" w:color="007A78"/>
        </w:pBdr>
      </w:pPr>
    </w:p>
    <w:p>
      <w:pPr>
        <w:spacing w:before="80"/>
        <w:jc w:val="center"/>
      </w:pPr>
      <w:r>
        <w:rPr>
          <w:rFonts w:ascii="Arial" w:hAnsi="Arial"/>
          <w:color w:val="707070"/>
          <w:sz w:val="16"/>
        </w:rPr>
        <w:t>Everforth ECS Practice  ·  Blueprint B Executive Briefing  ·  CONFIDENTIAL — INTERNAL  ·  May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rPr>
        <w:rFonts w:ascii="Calibri" w:hAnsi="Calibri"/>
        <w:color w:val="475569"/>
        <w:sz w:val="16"/>
      </w:rPr>
      <w:tab/>
    </w:r>
    <w:r>
      <w:rPr>
        <w:rFonts w:ascii="Calibri" w:hAnsi="Calibri"/>
        <w:color w:val="475569"/>
        <w:sz w:val="16"/>
      </w:rPr>
      <w:t xml:space="preserve">Page </w:t>
    </w:r>
    <w:r>
      <w:rPr>
        <w:rFonts w:ascii="Calibri" w:hAnsi="Calibri"/>
        <w:color w:val="475569"/>
        <w:sz w:val="16"/>
      </w:rPr>
      <w:fldChar w:fldCharType="begin"/>
      <w:instrText> PAGE </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_rgb.png"/>
                  <pic:cNvPicPr/>
                </pic:nvPicPr>
                <pic:blipFill>
                  <a:blip r:embed="rId1"/>
                  <a:stretch>
                    <a:fillRect/>
                  </a:stretch>
                </pic:blipFill>
                <pic:spPr>
                  <a:xfrm>
                    <a:off x="0" y="0"/>
                    <a:ext cx="960120" cy="178932"/>
                  </a:xfrm>
                  <a:prstGeom prst="rect"/>
                </pic:spPr>
              </pic:pic>
            </a:graphicData>
          </a:graphic>
        </wp:inline>
      </w:drawing>
    </w:r>
    <w:r>
      <w:rPr>
        <w:rFonts w:ascii="Calibri" w:hAnsi="Calibri"/>
        <w:color w:val="475569"/>
        <w:sz w:val="18"/>
      </w:rPr>
      <w:tab/>
    </w:r>
    <w:r>
      <w:rPr>
        <w:rFonts w:ascii="Calibri" w:hAnsi="Calibri"/>
        <w:color w:val="475569"/>
        <w:sz w:val="18"/>
      </w:rPr>
      <w:t>Internal  ·  Executive Brief: Blueprint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