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Purpose</w:t>
      </w:r>
    </w:p>
    <w:p>
      <w:pPr>
        <w:spacing w:after="160" w:before="0"/>
      </w:pPr>
      <w:r>
        <w:rPr>
          <w:rFonts w:ascii="Calibri" w:hAnsi="Calibri"/>
          <w:color w:val="1A1A1A"/>
          <w:sz w:val="22"/>
        </w:rPr>
        <w:t>This document captures recurring patterns from ECS engagements where the OOTB-first delivery model was challenged by customer stakeholders. Each entry describes the scenario, what happened, what worked, and the standing guidance for future consultants. This is a living document — update it after every engagement debrief.</w:t>
      </w:r>
    </w:p>
    <w:p>
      <w:pPr>
        <w:pStyle w:val="Heading1"/>
      </w:pPr>
      <w:r>
        <w:t>2.  Pattern 1: IT Team Arrives at Sprint 2 With a Custom Requirements List</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IT team was not in Sprint 1 workshops. They appear at Sprint 2 with a list of 'requirements' that are really customizations, some of which were already discussed and rejected.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Why it happened</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 team was not adequately briefed on the OOTB-first model before the engagement started. They assumed implementation = custom build.</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failed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 tried to re-litigate each requirement one by one in the workshop. This consumed the entire session and left the customer sponsor confused about who was in charge.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Stop the workshop at the first sign of a requirements list. Brief the IT lead privately: 'We need to validate each of these against our OOTB capabilities. Let me take this list, map each item to our cheatsheet, and come back with a structured response.' Then present at the next Customization Council session with tiered recommendations.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IT stakeholders must be briefed on the OOTB-first model and the Customization Council process BEFORE Sprint 1. Make this a Sprint 0 requirement, not an assumption.</w:t>
            </w:r>
          </w:p>
        </w:tc>
      </w:tr>
    </w:tbl>
    <w:p>
      <w:pPr>
        <w:spacing w:after="40"/>
      </w:pPr>
    </w:p>
    <w:p>
      <w:pPr>
        <w:pStyle w:val="Heading1"/>
      </w:pPr>
      <w:r>
        <w:t>3.  Pattern 2: Customer SME 'Agrees' in Workshop But Raises Defects for Everything in UAT</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SME nodded along in workshops and signed off on the accelerator pack. During UAT, they raised defects against every OOTB behavior — claiming they did not understand what they were agreeing to.</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Why it happened</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SME did not have sufficient technical background to visualize OOTB behavior from documentation. They thought they were agreeing to requirements, not seeing the actual system.</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failed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 treated the accelerator pack sign-off as binding. The EM had not confirmed the SME genuinely understood OOTB implications.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demos are your contract. If the SME sees a live demo and signs off on the sprint, their UAT objections are scope confirmations, not defects. Always conduct a demo before sprint sign-off — never rely on documentation review alone.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Every sprint ends with a working demo to the relevant SME. Sprint acceptance requires SME presence at the demo. Document demo attendance in sprint notes.</w:t>
            </w:r>
          </w:p>
        </w:tc>
      </w:tr>
    </w:tbl>
    <w:p>
      <w:pPr>
        <w:spacing w:after="40"/>
      </w:pPr>
    </w:p>
    <w:p>
      <w:pPr>
        <w:pStyle w:val="Heading1"/>
      </w:pPr>
      <w:r>
        <w:t>4.  Pattern 3: Executive Sponsor Approves a Customization That Contradicts Council Decision</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Council rejected a request. The customer stakeholder went directly to the Executive Sponsor and got verbal approval to proceed. ECS Lead felt unable to push back.</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Why it happened</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EM was not copied on the conversation. The Council decision was not documented formally enough to reference.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failed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customization was built. It created upgrade compatibility issues that required emergency remediation 6 months post-go-live.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Council decisions must be in writing (email or meeting minutes) and sent to the Executive Sponsor. When a sponsor override happens, ECS EM requests a brief meeting to present the risk formally. The sponsor can still override — but must do so in writing, with the risk documented in the Risk Register. Most sponsors choose not to override once they understand the written risk.</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Every Tier 1 and Tier 2 Council decision is communicated to the Project Sponsor in writing within 24 hours. ECS EM owns this communication, not the Lead Consultant.</w:t>
            </w:r>
          </w:p>
        </w:tc>
      </w:tr>
    </w:tbl>
    <w:p>
      <w:pPr>
        <w:spacing w:after="40"/>
      </w:pPr>
    </w:p>
    <w:p>
      <w:pPr>
        <w:pStyle w:val="Heading1"/>
      </w:pPr>
      <w:r>
        <w:t>5.  Pattern 4: Mid-Engagement Scope Creep Via Informal Agreements</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 customer stakeholder asked an ECS consultant 'can you just add X while you are in there?' The consultant said yes and did it. By Sprint 4, the engagement had 15 undocumented configuration items that were now being treated as committed deliverables.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Why it happened</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Consultant wanted to be helpful and did not understand the scope management implication of informal agreements.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failed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When the engagement ran behind schedule, there was no way to de-scope these informal items because they were never formally scoped in. The customer expected them as included.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response to every ad hoc request is: 'I can help with that — let me log it in the sprint plan and confirm with the EM whether it is in scope.' This is not bureaucracy. It is protection for both the consultant and the customer.</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 configuration work is performed outside the sprint plan without written EM approval. 'Parking lot' items go on the next sprint plan or to the Customization Council. The phrase 'while I am in there' is a red flag.</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INT-LL-01 Lessons Learned: OOTB Defense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