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Purpose</w:t>
      </w:r>
    </w:p>
    <w:p>
      <w:pPr>
        <w:spacing w:after="160" w:before="0"/>
      </w:pPr>
      <w:r>
        <w:rPr>
          <w:rFonts w:ascii="Calibri" w:hAnsi="Calibri"/>
          <w:color w:val="1A1A1A"/>
          <w:sz w:val="22"/>
        </w:rPr>
        <w:t>Sprint cadence is the most important structural protection in the OOTB delivery model. When sprints slip, scope pressure builds, and the OOTB model becomes the scapegoat. These lessons are from real engagements where the sprint model was disrupted and what we learned from recovering.</w:t>
      </w:r>
    </w:p>
    <w:p>
      <w:pPr>
        <w:pStyle w:val="Heading1"/>
      </w:pPr>
      <w:r>
        <w:t>2.  Pattern 1: Workshop Run Without Pre-Read Leads to Decision Paralysis</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Customers arrived at the Incident Management workshop having not read the pre-read or Decision Topic Guides. The first two hours were spent explaining concepts rather than making decisions. Workshop ended with no decisions recorded.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Pre-reads were sent the morning of the workshop. Not enough lead time for busy SMEs.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Pre-reads sent minimum 5 business days before the workshop. ECS Lead follows up 48 hours before to confirm attendance and pre-read review. Workshop agenda explicitly states: 'Pre-read is required — we will not re-present its content in the session.'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 workshop proceeds without confirmed pre-read distribution at least 5 business days prior. ECS Lead documents distribution and follow-up in sprint notes.</w:t>
            </w:r>
          </w:p>
        </w:tc>
      </w:tr>
    </w:tbl>
    <w:p>
      <w:pPr>
        <w:spacing w:after="40"/>
      </w:pPr>
    </w:p>
    <w:p>
      <w:pPr>
        <w:pStyle w:val="Heading1"/>
      </w:pPr>
      <w:r>
        <w:t>3.  Pattern 2: Sprint Demo Cancelled — 'We Need More Time'</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PM asked to postpone the Sprint 1 demo by a week because 'stakeholders are not ready.' The sprint demo was pushed, then pushed again. Sprint 2 started without Sprint 1 being formally accepted.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Demo was not treated as a contractual milestone. Customer PM could delay it without consequence.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 dates are set in the SOW or in Sprint 0 as firm milestones. Cancellation requires EM approval and triggers a formal sprint date revision — not a casual postponement. The EM communicates clearly: 'Postponing the demo adds a week to the overall timeline and shifts the go-live date.'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demo dates are fixed in the project plan and treated as delivery milestones. Customer PM may request a reschedule but must do so in writing at least 48 hours before, with an agreed replacement date.</w:t>
            </w:r>
          </w:p>
        </w:tc>
      </w:tr>
    </w:tbl>
    <w:p>
      <w:pPr>
        <w:spacing w:after="40"/>
      </w:pPr>
    </w:p>
    <w:p>
      <w:pPr>
        <w:pStyle w:val="Heading1"/>
      </w:pPr>
      <w:r>
        <w:t>4.  Pattern 3: Customer SMEs Cannot Attend Workshops Due to Scheduling Conflicts</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Three of six Sprint 2 workshops lost their primary SME to competing priorities. ECS consultants facilitated workshops without decision authority in the room. All decisions were deferred to follow-up sessions that never happened.</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PM did not protect SME time in their calendars. SMEs had not been briefed that workshops were decision sessions, not information sessions.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SME time commitment (specific hours per sprint) is documented in the SOW. ECS EM briefs SME managers directly: 'Your team member needs to be in these sessions to make decisions — absence means the decision gets deferred and the sprint slips.' Workshop invites go to SMEs and their managers.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SME availability is a Sprint 0 readiness gate (INT-S0-08 check #4). If SMEs cannot be confirmed, Sprint 1 does not start. This is non-negotiable.</w:t>
            </w:r>
          </w:p>
        </w:tc>
      </w:tr>
    </w:tbl>
    <w:p>
      <w:pPr>
        <w:spacing w:after="40"/>
      </w:pPr>
    </w:p>
    <w:p>
      <w:pPr>
        <w:pStyle w:val="Heading1"/>
      </w:pPr>
      <w:r>
        <w:t>5.  Pattern 4: Configuration Done But No Demo Discipline — Customer Loses Confidence</w:t>
      </w:r>
    </w:p>
    <w:tbl>
      <w:tblPr>
        <w:tblW w:type="auto" w:w="0"/>
        <w:jc w:val="left"/>
        <w:tblLook w:firstColumn="1" w:firstRow="1" w:lastColumn="0" w:lastRow="0" w:noHBand="0" w:noVBand="1" w:val="04A0"/>
      </w:tblPr>
      <w:tblGrid>
        <w:gridCol w:w="4680"/>
        <w:gridCol w:w="468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Field</w:t>
            </w:r>
          </w:p>
        </w:tc>
        <w:tc>
          <w:tcPr>
            <w:tcW w:type="dxa" w:w="108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Detail</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happened</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configuration was technically complete, but the sprint demo was unscripted and unrehearsed. The consultant navigated to broken flows and blank screens in front of the customer. Despite the work being done, the customer rated the sprint as 'low confidence.'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Lead treated the sprint demo as an informal walkthrough rather than a prepared delivery milestone.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What works</w:t>
            </w:r>
          </w:p>
        </w:tc>
        <w:tc>
          <w:tcPr>
            <w:tcW w:type="dxa" w:w="108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INT-TBV-06 Sprint Demo Discipline Audit is completed the day before every sprint demo. Demo is rehearsed at least once. All demo data is seeded and verified. Broken flows are either fixed or explicitly excluded from the demo scope with an explanation.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Standing guidance</w:t>
            </w:r>
          </w:p>
        </w:tc>
        <w:tc>
          <w:tcPr>
            <w:tcW w:type="dxa" w:w="108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sprint demo is a professional presentation. It is the customer's evidence that ECS delivered. Treat it as a performance, not an office visit.</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INT-LL-02 Lessons Learned: Sprint Delivery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