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Purpose</w:t>
      </w:r>
    </w:p>
    <w:p>
      <w:pPr>
        <w:spacing w:after="160" w:before="0"/>
      </w:pPr>
      <w:r>
        <w:rPr>
          <w:rFonts w:ascii="Calibri" w:hAnsi="Calibri"/>
          <w:color w:val="1A1A1A"/>
          <w:sz w:val="22"/>
        </w:rPr>
        <w:t>The majority of ECS engagement risks are not technical — they are organizational. Stakeholder misalignment, sponsor disengagement, and customer PM ineffectiveness are the root causes behind most delivery problems. These lessons are for Engagement Managers and Practice Directors navigating the human side of delivery.</w:t>
      </w:r>
    </w:p>
    <w:p>
      <w:pPr>
        <w:pStyle w:val="Heading1"/>
      </w:pPr>
      <w:r>
        <w:t>2.  Pattern 1: Sponsor Disengages After Kickoff</w:t>
      </w:r>
    </w:p>
    <w:tbl>
      <w:tblPr>
        <w:tblW w:type="auto" w:w="0"/>
        <w:jc w:val="left"/>
        <w:tblLook w:firstColumn="1" w:firstRow="1" w:lastColumn="0" w:lastRow="0" w:noHBand="0" w:noVBand="1" w:val="04A0"/>
      </w:tblPr>
      <w:tblGrid>
        <w:gridCol w:w="4680"/>
        <w:gridCol w:w="468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Field</w:t>
            </w:r>
          </w:p>
        </w:tc>
        <w:tc>
          <w:tcPr>
            <w:tcW w:type="dxa" w:w="108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Detail</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happened</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Executive Sponsor attended the kickoff, delegated to the Project Manager, and was effectively unreachable for the next 8 weeks. When a Tier 1 customization decision needed resolution, there was no path to a decision.</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works</w:t>
            </w:r>
          </w:p>
        </w:tc>
        <w:tc>
          <w:tcPr>
            <w:tcW w:type="dxa" w:w="108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Bi-Weekly Sponsor Sync is in the calendar from Sprint 0 — non-negotiable (INT-TBV-04). These are 30-minute standing meetings at the end of each sprint. If the Sponsor cancels twice in a row, ECS EM escalates in writing: 'We have two Tier 2 decisions pending that require your authorization. Continued deferral creates go-live risk.'</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Standing guidance</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Sponsor Syncs are scheduled in Sprint 0 for the entire 18-week calendar. They are the EM's primary escalation tool. Use them proactively — do not wait for a crisis to engage the sponsor.</w:t>
            </w:r>
          </w:p>
        </w:tc>
      </w:tr>
    </w:tbl>
    <w:p>
      <w:pPr>
        <w:spacing w:after="40"/>
      </w:pPr>
    </w:p>
    <w:p>
      <w:pPr>
        <w:pStyle w:val="Heading1"/>
      </w:pPr>
      <w:r>
        <w:t>3.  Pattern 2: Customer PM Is Part-Time and Creates Communication Gaps</w:t>
      </w:r>
    </w:p>
    <w:tbl>
      <w:tblPr>
        <w:tblW w:type="auto" w:w="0"/>
        <w:jc w:val="left"/>
        <w:tblLook w:firstColumn="1" w:firstRow="1" w:lastColumn="0" w:lastRow="0" w:noHBand="0" w:noVBand="1" w:val="04A0"/>
      </w:tblPr>
      <w:tblGrid>
        <w:gridCol w:w="4680"/>
        <w:gridCol w:w="468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Field</w:t>
            </w:r>
          </w:p>
        </w:tc>
        <w:tc>
          <w:tcPr>
            <w:tcW w:type="dxa" w:w="108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Detail</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happened</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PM was managing 4 other projects. Workshop invites went unanswered. SME schedules were not managed. Change orders sat unsigned for 2 weeks because the PM was not available to route them.</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works</w:t>
            </w:r>
          </w:p>
        </w:tc>
        <w:tc>
          <w:tcPr>
            <w:tcW w:type="dxa" w:w="108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Named, dedicated customer PM is an SOW assumption — not a preference. If the PM is part-time, ECS EM escalates to the Project Sponsor: 'The PM availability level is creating X days of delay per sprint. We need either a dedicated PM or a defined escalation path when the PM is unavailable.'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Standing guidance</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PM availability is a Sprint 0 readiness gate. If PM cannot commit to minimum availability (recommend 50% of their time on this project), document it as a project risk in INT-S0-06 and set up a direct line to the Project Sponsor for escalation.</w:t>
            </w:r>
          </w:p>
        </w:tc>
      </w:tr>
    </w:tbl>
    <w:p>
      <w:pPr>
        <w:spacing w:after="40"/>
      </w:pPr>
    </w:p>
    <w:p>
      <w:pPr>
        <w:pStyle w:val="Heading1"/>
      </w:pPr>
      <w:r>
        <w:t>4.  Pattern 3: IT Team and Business Team Have Conflicting Goals</w:t>
      </w:r>
    </w:p>
    <w:tbl>
      <w:tblPr>
        <w:tblW w:type="auto" w:w="0"/>
        <w:jc w:val="left"/>
        <w:tblLook w:firstColumn="1" w:firstRow="1" w:lastColumn="0" w:lastRow="0" w:noHBand="0" w:noVBand="1" w:val="04A0"/>
      </w:tblPr>
      <w:tblGrid>
        <w:gridCol w:w="4680"/>
        <w:gridCol w:w="468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Field</w:t>
            </w:r>
          </w:p>
        </w:tc>
        <w:tc>
          <w:tcPr>
            <w:tcW w:type="dxa" w:w="108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Detail</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happened</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Business SMEs wanted OOTB Employee Center for self-service. IT team wanted to continue routing everything through email. Every workshop became a proxy war between the two groups, with ECS stuck in the middle.</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works</w:t>
            </w:r>
          </w:p>
        </w:tc>
        <w:tc>
          <w:tcPr>
            <w:tcW w:type="dxa" w:w="108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does not mediate internal customer conflicts. The EM identifies the conflict, names it explicitly to the Project Sponsor: 'We have two stakeholder groups with different goals. This is creating workshop delays. The Project Sponsor needs to define the governing requirement before we can proceed.'</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Standing guidance</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Internal customer politics is a Tier 1 risk. Document it in the Risk Register (INT-S0-06) and escalate to the sponsor immediately. Do not absorb organizational dysfunction into the sprint — it will consume capacity and produce no decisions.</w:t>
            </w:r>
          </w:p>
        </w:tc>
      </w:tr>
    </w:tbl>
    <w:p>
      <w:pPr>
        <w:spacing w:after="40"/>
      </w:pPr>
    </w:p>
    <w:p>
      <w:pPr>
        <w:pStyle w:val="Heading1"/>
      </w:pPr>
      <w:r>
        <w:t>5.  Pattern 4: End of Engagement — Customer Wants to Keep ECS On-Site</w:t>
      </w:r>
    </w:p>
    <w:tbl>
      <w:tblPr>
        <w:tblW w:type="auto" w:w="0"/>
        <w:jc w:val="left"/>
        <w:tblLook w:firstColumn="1" w:firstRow="1" w:lastColumn="0" w:lastRow="0" w:noHBand="0" w:noVBand="1" w:val="04A0"/>
      </w:tblPr>
      <w:tblGrid>
        <w:gridCol w:w="4680"/>
        <w:gridCol w:w="468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Field</w:t>
            </w:r>
          </w:p>
        </w:tc>
        <w:tc>
          <w:tcPr>
            <w:tcW w:type="dxa" w:w="108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Detail</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happened</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At the end of Sprint 6, the customer asked to extend the engagement indefinitely for 'ongoing configuration support.' They had not done knowledge transfer and did not feel ready to operate the platform independently.</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works</w:t>
            </w:r>
          </w:p>
        </w:tc>
        <w:tc>
          <w:tcPr>
            <w:tcW w:type="dxa" w:w="108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Knowledge transfer is a Sprint deliverable, not an afterthought. Start in Sprint 3: every configuration session includes a 'how to maintain this OOTB' walkthrough. By Sprint 6, the customer IT admin should be able to handle all Tier 3 configuration changes independently. Document knowledge transfer in INT-LL-04 and the closeout doc.</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Standing guidance</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Hypercare scope is defined in the SOW. ECS EM references the SOW when extension requests come: 'Our hypercare period ends [date]. After that, ServiceNow support covers platform issues, and your admin handles Tier 3 configuration. We can scope an optional managed services arrangement if you want ongoing support beyond hypercare — but that is a new engagement.'</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INT-LL-04 Lessons Learned: Stakeholder Risk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