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PRACTICE GUIDE</w:t>
      </w:r>
    </w:p>
    <w:p>
      <w:pPr>
        <w:spacing w:before="0" w:after="40"/>
      </w:pPr>
      <w:r>
        <w:rPr>
          <w:rFonts w:ascii="Calibri" w:hAnsi="Calibri"/>
          <w:b/>
          <w:color w:val="0B1F3A"/>
          <w:sz w:val="56"/>
        </w:rPr>
        <w:t>ECS Practice</w:t>
      </w:r>
    </w:p>
    <w:p>
      <w:pPr>
        <w:spacing w:before="0" w:after="40"/>
      </w:pPr>
      <w:r>
        <w:rPr>
          <w:rFonts w:ascii="Calibri" w:hAnsi="Calibri"/>
          <w:b/>
          <w:color w:val="0B1F3A"/>
          <w:sz w:val="56"/>
        </w:rPr>
        <w:t>Onboarding Roadmap</w:t>
      </w:r>
    </w:p>
    <w:p>
      <w:pPr>
        <w:spacing w:before="120" w:after="400"/>
      </w:pPr>
      <w:r>
        <w:rPr>
          <w:rFonts w:ascii="Calibri" w:hAnsi="Calibri"/>
          <w:i/>
          <w:color w:val="0D9488"/>
          <w:sz w:val="24"/>
        </w:rPr>
        <w:t>Phased role-by-role adoption of the OOTB-first delivery model</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Lead, Engagement Managers, Solution Architects, Process Consultants, Developers</w:t>
      </w:r>
    </w:p>
    <w:p>
      <w:pPr>
        <w:spacing w:after="40"/>
      </w:pPr>
      <w:r>
        <w:rPr>
          <w:rFonts w:ascii="Calibri" w:hAnsi="Calibri"/>
          <w:b w:val="0"/>
          <w:i w:val="0"/>
          <w:color w:val="475569"/>
          <w:sz w:val="20"/>
        </w:rPr>
        <w:t>Companion to: Consultant Handbook (INT-CH-01) · Manager's TBV Playbook (INT-TBV-01) · Internal Governance Operating Guide</w:t>
      </w:r>
    </w:p>
    <w:p>
      <w:pPr>
        <w:spacing w:after="80"/>
      </w:pPr>
      <w:r>
        <w:rPr>
          <w:rFonts w:ascii="Calibri" w:hAnsi="Calibri"/>
          <w:b w:val="0"/>
          <w:i w:val="0"/>
          <w:color w:val="475569"/>
          <w:sz w:val="20"/>
        </w:rPr>
        <w:t>Document ID: INT-OR-01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guide is the practice lead's primary tool for onboarding consultants, engagement managers, and technical staff to the ECS OOTB-first delivery model. It answers three questions: what does each role need to know, in what order, and how do we change the default behavior that has accumulated over years of custom-first delivery?</w:t>
      </w:r>
    </w:p>
    <w:p>
      <w:pPr>
        <w:spacing w:after="160" w:before="0"/>
      </w:pPr>
      <w:r>
        <w:rPr>
          <w:rFonts w:ascii="Calibri" w:hAnsi="Calibri"/>
          <w:color w:val="1A1A1A"/>
          <w:sz w:val="22"/>
        </w:rPr>
        <w:t>The guide is organized into three phases. Phase 1 is the minimum viable onboarding — the documents and concepts every person must internalize before their first engagement sprint. Phase 2 activates the discipline-specific toolkit during Sprint 0 through the first two sprints. Phase 3 establishes the muscle memory through manager reinforcement and field repetition. Do not collapse the phases. The culture change requires staged exposure, not a document dump.</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HOW TO RUN AN ONBOARDING SESSION: Phase 1 content should be delivered as a facilitated 90-minute read-through, not sent as attachments. Consultants need a room to ask 'but what about when...' questions. That conversation is where the culture shift starts.</w:t>
      </w:r>
    </w:p>
    <w:p>
      <w:pPr>
        <w:pStyle w:val="Heading1"/>
      </w:pPr>
      <w:r>
        <w:t>1.  The OCM Challenge: Flipping the Default</w:t>
      </w:r>
    </w:p>
    <w:p>
      <w:pPr>
        <w:spacing w:after="160" w:before="0"/>
      </w:pPr>
      <w:r>
        <w:rPr>
          <w:rFonts w:ascii="Calibri" w:hAnsi="Calibri"/>
          <w:color w:val="1A1A1A"/>
          <w:sz w:val="22"/>
        </w:rPr>
        <w:t>The ECS team is technically skilled and customer-oriented. That is exactly the problem. Years of custom-first delivery have trained consultants to hear a customer requirement and immediately think: how do we build this? The OOTB-first model requires a different reflex: how does ServiceNow already do this, and how do we show the customer why that is better?</w:t>
      </w:r>
    </w:p>
    <w:p>
      <w:pPr>
        <w:spacing w:after="160" w:before="0"/>
      </w:pPr>
      <w:r>
        <w:rPr>
          <w:rFonts w:ascii="Calibri" w:hAnsi="Calibri"/>
          <w:color w:val="1A1A1A"/>
          <w:sz w:val="22"/>
        </w:rPr>
        <w:t>This is not a knowledge gap — it is a habit gap. The library of how-to guides, cheatsheets, accelerator packs, and demo scripts exists to make the new habit easier than the old one. But the habit only forms if the material is introduced in the right sequence and reinforced by management through the Trust-But-Verify tools. The three-phase model below is designed to create that sequence.</w:t>
      </w:r>
    </w:p>
    <w:p>
      <w:pPr>
        <w:pStyle w:val="Heading2"/>
      </w:pPr>
      <w:r>
        <w:t>The Three Culture-Change Levers</w:t>
      </w:r>
    </w:p>
    <w:p>
      <w:pPr>
        <w:spacing w:after="160" w:before="0"/>
      </w:pPr>
      <w:r>
        <w:rPr>
          <w:rFonts w:ascii="Calibri" w:hAnsi="Calibri"/>
          <w:color w:val="1A1A1A"/>
          <w:sz w:val="22"/>
        </w:rPr>
        <w:t>Three things must change in parallel for the model to stick across the team: vocabulary (everyone uses the same language for OOTB decisions), tools (everyone reaches for the same cheatsheet or facilitator guide in the moment), and visibility (management can see when the model is holding and when it is slipping). The phases below address all three.</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Lever</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Changes</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Tool</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Vocabulary</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Consultants use OOTB-first language in workshops; customers hear 'Modernizing the Core' instead of 'we can customize that'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INT-CH-04 OOTB-First Glossary + INT-CH-03 Decision Rights Reference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Tools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Consultants reach for cheatsheets, facilitator guides, and demo scripts before ad-libbing</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INT-AR-01 to 16 Cheatsheets + INT-FG series Facilitator Guides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Visibility</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management tracks OOTB-defense usage and customization variance by sprint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INT-TBV-02 Engagement Health Dashboard + INT-TBV-03 Customization Variance Tracker</w:t>
            </w:r>
          </w:p>
        </w:tc>
      </w:tr>
    </w:tbl>
    <w:p>
      <w:pPr>
        <w:spacing w:after="40"/>
      </w:pPr>
    </w:p>
    <w:p>
      <w:pPr>
        <w:pStyle w:val="Heading1"/>
      </w:pPr>
      <w:r>
        <w:t>2.  Three-Phase Onboarding Overview</w:t>
      </w:r>
    </w:p>
    <w:p>
      <w:pPr>
        <w:spacing w:after="160" w:before="0"/>
      </w:pPr>
      <w:r>
        <w:rPr>
          <w:rFonts w:ascii="Calibri" w:hAnsi="Calibri"/>
          <w:color w:val="1A1A1A"/>
          <w:sz w:val="22"/>
        </w:rPr>
        <w:t>Each phase is designed around the natural rhythm of an engagement. Phase 1 happens before or at the start of Sprint 0. Phase 2 activates during Sprint 0 and carries through Sprint 2. Phase 3 is field-reinforced from Sprint 3 onward and continues through every subsequent engagement.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Timing</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Goal</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Delivery Method</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 The Contract</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Before first engagement / Days 1–5 of onboarding</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 vocabulary, clear decision rights, 3–4 anchor documents per role</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Facilitated 90-min group read-through — not email attachments</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 The Toolkit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through Sprint 2 of first engagement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Role-specific tools active in the field; cheatsheets and facilitator guides used in real workshops</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Context-triggered delivery — 48 hrs before each sprint</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3 — The Standard</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onward + every subsequent engagement</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OOTB-first behavior is ambient; management TBV checks active; lessons feed back</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Manager reinforcement via TBV tools; practice retro loop</w:t>
            </w:r>
          </w:p>
        </w:tc>
      </w:tr>
    </w:tbl>
    <w:p>
      <w:pPr>
        <w:spacing w:after="40"/>
      </w:pPr>
    </w:p>
    <w:p>
      <w:r>
        <w:br w:type="page"/>
      </w:r>
    </w:p>
    <w:p>
      <w:pPr>
        <w:pStyle w:val="Heading1"/>
      </w:pPr>
      <w:r>
        <w:t>3.  Engagement Manager Onboarding Package</w:t>
      </w:r>
    </w:p>
    <w:p>
      <w:pPr>
        <w:spacing w:after="160" w:before="0"/>
      </w:pPr>
      <w:r>
        <w:rPr>
          <w:rFonts w:ascii="Calibri" w:hAnsi="Calibri"/>
          <w:color w:val="1A1A1A"/>
          <w:sz w:val="22"/>
        </w:rPr>
        <w:t>The EM's culture change is the most critical in the practice. EMs are the single point at which OOTB-first discipline is either enforced or quietly eroded. An EM who does not have the TBV tools, the decision-rights frame, and the customization council process internalized will accommodate customer customization requests not out of bad intent, but because accommodation is the path of least resistance in the moment. The Phase 1 package for an EM is shorter than other roles but carries the highest consequences if skipped.</w:t>
      </w:r>
    </w:p>
    <w:p>
      <w:pPr>
        <w:pStyle w:val="Heading2"/>
      </w:pPr>
      <w:r>
        <w:t>Phase 1 — The Contract</w:t>
      </w:r>
    </w:p>
    <w:p>
      <w:pPr>
        <w:spacing w:after="160" w:before="0"/>
      </w:pPr>
      <w:r>
        <w:rPr>
          <w:rFonts w:ascii="Calibri" w:hAnsi="Calibri"/>
          <w:color w:val="1A1A1A"/>
          <w:sz w:val="22"/>
        </w:rPr>
        <w:t>Three documents. Read in full before the first engagement kickoff. The EM must be able to answer: who decides what, what does a customization council request look like, and what does engagement health drift look like before it becomes a visible problem.</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 EM Takes From It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 Decision Rights, Customization Council, and Engagement Spine sections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rules of the model: who decides what, how escalations work, what the 18-week cadence commits to</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Manager's Trust-But-Verify Playbook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to recognize OOTB-first drift, what the weekly health signals are, and how to course-correct before an escalation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INT-CH-03</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Decision Rights Reference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one-page quick reference for who can approve what — carried into every sponsor sync</w:t>
            </w:r>
          </w:p>
        </w:tc>
      </w:tr>
    </w:tbl>
    <w:p>
      <w:pPr>
        <w:spacing w:after="40"/>
      </w:pPr>
    </w:p>
    <w:p>
      <w:pPr>
        <w:pStyle w:val="Heading2"/>
      </w:pPr>
      <w:r>
        <w:t>Phase 2 — The Toolkit</w:t>
      </w:r>
    </w:p>
    <w:p>
      <w:pPr>
        <w:spacing w:after="160" w:before="0"/>
      </w:pPr>
      <w:r>
        <w:rPr>
          <w:rFonts w:ascii="Calibri" w:hAnsi="Calibri"/>
          <w:color w:val="1A1A1A"/>
          <w:sz w:val="22"/>
        </w:rPr>
        <w:t>Six tools that become the EM's operational cadence for the first engagement. Introduced at Sprint 0 kickoff and used every sprint thereafter.</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 to Use It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Facilitator Playbook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Run Sprint 0 end-to-end using this as the operating guide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INT-TBV-02</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Health Dashboard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Updated weekly; reviewed at every sponsor sync and in practice management reviews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INT-TBV-03</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Variance Tracker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Updated when any customization is approved; trend line is the primary drift signal</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Sponsor Sync Agenda Template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verbatim for the first three sponsor syncs; adapt after that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INT-S0-06</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 Register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Populated at Sprint 0 kickoff; live document through hypercare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INT-S0-07</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Communication Plan Template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Agreed with the customer at Sprint 0; governs all sprint communications</w:t>
            </w:r>
          </w:p>
        </w:tc>
      </w:tr>
    </w:tbl>
    <w:p>
      <w:pPr>
        <w:spacing w:after="40"/>
      </w:pPr>
    </w:p>
    <w:p>
      <w:pPr>
        <w:pStyle w:val="Heading2"/>
      </w:pPr>
      <w:r>
        <w:t>Phase 3 — The Standard</w:t>
      </w:r>
    </w:p>
    <w:p>
      <w:pPr>
        <w:spacing w:after="160" w:before="0"/>
      </w:pPr>
      <w:r>
        <w:rPr>
          <w:rFonts w:ascii="Calibri" w:hAnsi="Calibri"/>
          <w:color w:val="1A1A1A"/>
          <w:sz w:val="22"/>
        </w:rPr>
        <w:t>From Sprint 3 onward, the EM operates the full TBV suite and begins coaching their team against the model. The practice monthly review becomes the vehicle for surfacing lessons back to the practice lead.</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It Is Used at Phase 3</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Pre-Read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Prepared by the requesting consultant; reviewed and approved or denied in council</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INT-TBV-06</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Discipline Audit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completes before each sprint demo to confirm OOTB scope is holding</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INT-TBV-07</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Management Monthly Review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presents engagement health to practice lead monthly</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INT-TBV-08</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Course-Correction Playbook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Pulled when Health Dashboard signals drift; not a corrective action — a prevention tool</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INT-TBV-09</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Coaching Conversation Templates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Used when the EM needs to redirect a consultant who is accommodating outside the model</w:t>
            </w:r>
          </w:p>
        </w:tc>
      </w:tr>
    </w:tbl>
    <w:p>
      <w:pPr>
        <w:spacing w:after="40"/>
      </w:pPr>
    </w:p>
    <w:p>
      <w:r>
        <w:br w:type="page"/>
      </w:r>
    </w:p>
    <w:p>
      <w:pPr>
        <w:pStyle w:val="Heading1"/>
      </w:pPr>
      <w:r>
        <w:t>4.  Solution Architect Onboarding Package</w:t>
      </w:r>
    </w:p>
    <w:p>
      <w:pPr>
        <w:spacing w:after="160" w:before="0"/>
      </w:pPr>
      <w:r>
        <w:rPr>
          <w:rFonts w:ascii="Calibri" w:hAnsi="Calibri"/>
          <w:color w:val="1A1A1A"/>
          <w:sz w:val="22"/>
        </w:rPr>
        <w:t>An SA's reflex problem is proposing custom solutions because they can. The OOTB-first flip is proposing OOTB configurations because they are better positioned for AI realization — and because the SA can demonstrate that in a live demo. Phase 1 for an SA reframes the architecture default. The cheatsheet and the decision framework give the SA a new vocabulary for conversations where they would previously have said yes to a custom pattern.</w:t>
      </w:r>
    </w:p>
    <w:p>
      <w:pPr>
        <w:pStyle w:val="Heading2"/>
      </w:pPr>
      <w:r>
        <w:t>Phase 1 — The Contract</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 SA Takes From It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 OOTB-First Model and Engagement Spine sections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delivery model the SA is architecting within; what OOTB-first means technically</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Glossary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vocabulary to use in workshops when discussing configuration vs. customization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INT-AR-14</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Custom-vs-OOTB Decision Framework Cheatsheet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decision tree for every architecture question; the SA's primary field reference in Sprints 4–5</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 Foundation How-To</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INT-HT-01 Platform Foundation How-To Consultant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technical baseline the SA is responsible for standing up in Sprint 1</w:t>
            </w:r>
          </w:p>
        </w:tc>
      </w:tr>
    </w:tbl>
    <w:p>
      <w:pPr>
        <w:spacing w:after="40"/>
      </w:pPr>
    </w:p>
    <w:p>
      <w:pPr>
        <w:pStyle w:val="Heading2"/>
      </w:pPr>
      <w:r>
        <w:t>Phase 2 — The Toolkit</w:t>
      </w:r>
    </w:p>
    <w:p>
      <w:pPr>
        <w:spacing w:after="160" w:before="0"/>
      </w:pPr>
      <w:r>
        <w:rPr>
          <w:rFonts w:ascii="Calibri" w:hAnsi="Calibri"/>
          <w:color w:val="1A1A1A"/>
          <w:sz w:val="22"/>
        </w:rPr>
        <w:t>Delivered at Sprint 0 and expanded sprint-by-sprint as technical disciplines are activated. The SA should receive each how-to guide and its matching accelerator pack 48 hours before the relevant sprint, not all at once.</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 Relevance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INT-HT-12 / INT-HT-13</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How-To + CMDB How-To Consultant Guides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 the SA's primary technical ownership sprints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How-To Consultant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 pairs with CMDB</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AP-10/11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CMDB/CSDM Accelerator Pack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 SA walks the customer through these worksheets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AP-12</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Accelerator Pack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INT-FG-08</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CSDM Facilitator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 uses to prep and run the Sprint 4 CSDM workshop</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INT-FG-09</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CMDB Facilitator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 uses to prep and run the Sprint 4 CMDB workshop</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INT-FG-10</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Discovery Facilitator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 uses to prep and run the Sprint 4 Discovery workshop</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Class Selection Cheatsheet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SA's OOTB defense reference for class proliferation requests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Phasing Cheatsheet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SA's OOTB defense for 'discover everything now' requests</w:t>
            </w:r>
          </w:p>
        </w:tc>
      </w:tr>
    </w:tbl>
    <w:p>
      <w:pPr>
        <w:spacing w:after="40"/>
      </w:pPr>
    </w:p>
    <w:p>
      <w:pPr>
        <w:pStyle w:val="Heading2"/>
      </w:pPr>
      <w:r>
        <w:t>Phase 3 — The Standard</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It Is Used at Phase 3</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Connectors How-To</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 SA owns SGC configuration</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INT-HT-20</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Integrations How-To (AD/Entra, SSO, SCCM, Intune)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 SA owns integration architecture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INT-DS-05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Service Map Demo Script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 can deliver an unscripted OOTB demo by Phase 3</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INT-DS-08</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 GenAI Demo Script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realization demo; the SA's closing argument for the OOTB-first model</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INT-FG-11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Service Graph Facilitator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Full Sprint 5 technical leadership</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INT-FG-13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Integrations Facilitator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sprint leadership</w:t>
            </w:r>
          </w:p>
        </w:tc>
      </w:tr>
    </w:tbl>
    <w:p>
      <w:pPr>
        <w:spacing w:after="40"/>
      </w:pPr>
    </w:p>
    <w:p>
      <w:r>
        <w:br w:type="page"/>
      </w:r>
    </w:p>
    <w:p>
      <w:pPr>
        <w:pStyle w:val="Heading1"/>
      </w:pPr>
      <w:r>
        <w:t>5.  Process Consultant Onboarding Package</w:t>
      </w:r>
    </w:p>
    <w:p>
      <w:pPr>
        <w:spacing w:after="160" w:before="0"/>
      </w:pPr>
      <w:r>
        <w:rPr>
          <w:rFonts w:ascii="Calibri" w:hAnsi="Calibri"/>
          <w:color w:val="1A1A1A"/>
          <w:sz w:val="22"/>
        </w:rPr>
        <w:t>Process consultants sit directly across from the customer's SME who says 'but our old system did X.' Their reflex is empathy and accommodation. The OOTB-first flip is confident defense with pre-built explanations that do not feel like a lecture. The Adopt-vs-Re-engineer cheatsheets are the single highest-leverage Phase 1 tool for a process consultant. They should read the cheatsheets for their assigned disciplines before their first workshop and carry them into every session.</w:t>
      </w:r>
    </w:p>
    <w:p>
      <w:pPr>
        <w:spacing w:after="160" w:before="0"/>
      </w:pPr>
      <w:r>
        <w:rPr>
          <w:rFonts w:ascii="Calibri" w:hAnsi="Calibri"/>
          <w:color w:val="1A1A1A"/>
          <w:sz w:val="22"/>
        </w:rPr>
        <w:t>Note: assign each process consultant 2–3 discipline areas at onboarding. Give them the cheatsheets and how-to guides for those areas only at Phase 1 and 2. Depth before breadth — a consultant who knows Incident and Change cold is more valuable than one who has skimmed all 20 disciplines.</w:t>
      </w:r>
    </w:p>
    <w:p>
      <w:pPr>
        <w:pStyle w:val="Heading2"/>
      </w:pPr>
      <w:r>
        <w:t>Phase 1 — The Contract</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 Process Consultant Takes From It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 Workshop Facilitation and OOTB Defense sections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facilitation model, when to push back on customization, and how the customization council works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Glossary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Vocabulary to use when describing OOTB patterns to customers who are used to legacy language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Rationalization Cheatsheet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Covers the most common workshop friction point; read first regardless of assigned discipline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INT-AR-03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Discipline Cheatsheet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Second most common friction point; SLA proliferation affects almost every engagement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INT-AR-14</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Custom-vs-OOTB Decision Framework Cheatsheet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consultant's field guide for any in-workshop customization request</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PHASE 1 DELIVERY NOTE: Run a 45-minute cheatsheet review session per assigned discipline area. Have the consultant read the cheatsheet, then role-play a customer pushback scenario. The role-play is not optional — reading without practice does not build the reflex.</w:t>
      </w:r>
    </w:p>
    <w:p>
      <w:pPr>
        <w:pStyle w:val="Heading2"/>
      </w:pPr>
      <w:r>
        <w:t>Phase 2 — The Toolkit</w:t>
      </w:r>
    </w:p>
    <w:p>
      <w:pPr>
        <w:spacing w:after="160" w:before="0"/>
      </w:pPr>
      <w:r>
        <w:rPr>
          <w:rFonts w:ascii="Calibri" w:hAnsi="Calibri"/>
          <w:color w:val="1A1A1A"/>
          <w:sz w:val="22"/>
        </w:rPr>
        <w:t>Delivered 48 hours before each relevant sprint. The process consultant receives the how-to guide, the matching cheatsheets, the workshop pre-read (so they know what the customer received), and the facilitator guide for their assigned sprint discipline.</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 to Deliver</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How-To</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48 hrs before Sprint 1 Incident workshops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INT-HT-05</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Management How-To</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48 hrs before Sprint 4 Change workshop</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INT-HT-06</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Catalog &amp; Request Management How-To</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48 hrs before Sprint 2 Catalog workshop</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INT-HT-07</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Management How-To</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48 hrs before Sprint 3 Knowledge workshop</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Incident Management Facilitator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48 hrs before Sprint 1</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Catalog &amp; Request Facilitator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48 hrs before Sprint 2</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Knowledge Facilitator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48 hrs before Sprint 3</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INT-FG-07</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Change Facilitator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48 hrs before Sprint 4</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Accelerator Pack (6 workbooks)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 so the consultant understands what the customer is filling in</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Matching CLT-WP</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Pre-Read for each sprint discipline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week before each sprint — read what the customer received</w:t>
            </w:r>
          </w:p>
        </w:tc>
      </w:tr>
    </w:tbl>
    <w:p>
      <w:pPr>
        <w:spacing w:after="40"/>
      </w:pPr>
    </w:p>
    <w:p>
      <w:pPr>
        <w:pStyle w:val="Heading2"/>
      </w:pPr>
      <w:r>
        <w:t>Phase 3 — The Standard</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It Is Used at Phase 3</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INT-HT-08 / INT-HT-09</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Employee Center + Virtual Agent How-To Guides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extensions — EC and VA complement Knowledge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INT-DS-02</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&amp; Request Demo Script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Process consultant delivers Sprint 2 OOTB demo unscripted</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INT-DS-03</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 Virtual Agent Combined Demo Script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demo delivery</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&amp; CAB Workbench Demo Script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demo delivery</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INT-UAT-02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Execution Playbook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consultant runs UAT facilitation using this guide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INT-LL-01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Lessons Learned — OOTB Defense Patterns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After first engagement: process consultant contributes lessons</w:t>
            </w:r>
          </w:p>
        </w:tc>
      </w:tr>
    </w:tbl>
    <w:p>
      <w:pPr>
        <w:spacing w:after="40"/>
      </w:pPr>
    </w:p>
    <w:p>
      <w:r>
        <w:br w:type="page"/>
      </w:r>
    </w:p>
    <w:p>
      <w:pPr>
        <w:pStyle w:val="Heading1"/>
      </w:pPr>
      <w:r>
        <w:t>6.  Developer Onboarding Package</w:t>
      </w:r>
    </w:p>
    <w:p>
      <w:pPr>
        <w:spacing w:after="160" w:before="0"/>
      </w:pPr>
      <w:r>
        <w:rPr>
          <w:rFonts w:ascii="Calibri" w:hAnsi="Calibri"/>
          <w:color w:val="1A1A1A"/>
          <w:sz w:val="22"/>
        </w:rPr>
        <w:t>A developer's OCM challenge is different from the consulting roles. Developers are less likely to be in workshops, but they are the ones who build the customization when a consultant (incorrectly) scopes it. Their Phase 1 is short and boundary-focused: what requires a customization council decision, what does OOTB configuration look like technically, and how do they raise a concern if they are being asked to build something outside the model.</w:t>
      </w:r>
    </w:p>
    <w:p>
      <w:pPr>
        <w:spacing w:after="160" w:before="0"/>
      </w:pPr>
      <w:r>
        <w:rPr>
          <w:rFonts w:ascii="Calibri" w:hAnsi="Calibri"/>
          <w:color w:val="1A1A1A"/>
          <w:sz w:val="22"/>
        </w:rPr>
        <w:t>Keep Phase 1 for developers concise. They do not need workshop facilitation theory. They need clear rules and a path to escalate when the rules are being violated. Phase 2 is where depth builds — through the accelerator packs and sprint workbooks that define what they will actually configure.</w:t>
      </w:r>
    </w:p>
    <w:p>
      <w:pPr>
        <w:pStyle w:val="Heading2"/>
      </w:pPr>
      <w:r>
        <w:t>Phase 1 — The Contract</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 Developer Takes From It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 Customization Council and OOTB Configuration sections only</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boundary: what can be configured (OOTB), what requires a council decision, who to escalate to</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Glossary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vocabulary — the difference between configuration, customization, and extension in ServiceNow terms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INT-AR-14</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Custom-vs-OOTB Decision Framework Cheatsheet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developer's personal reference when scoping a build request</w:t>
            </w:r>
          </w:p>
        </w:tc>
      </w:tr>
    </w:tbl>
    <w:p>
      <w:pPr>
        <w:spacing w:after="40"/>
      </w:pPr>
    </w:p>
    <w:p>
      <w:pPr>
        <w:pStyle w:val="Heading2"/>
      </w:pPr>
      <w:r>
        <w:t>Phase 2 — The Toolkit</w:t>
      </w:r>
    </w:p>
    <w:p>
      <w:pPr>
        <w:spacing w:after="160" w:before="0"/>
      </w:pPr>
      <w:r>
        <w:rPr>
          <w:rFonts w:ascii="Calibri" w:hAnsi="Calibri"/>
          <w:color w:val="1A1A1A"/>
          <w:sz w:val="22"/>
        </w:rPr>
        <w:t>Introduced at Sprint 0 and expanded as each sprint activates. The developer should receive the accelerator pack and sprint workbook for their assigned disciplines before Sprint 1 begins.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 to Deliver</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Foundation How-To</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 the technical baseline the developer is building on</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Foundation Data Pack (8 workbooks)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 the developer configures what the customer fills in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Accelerator Pack (6 workbooks)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 developer configures Incident, MIM, Problem, Change, Request, Knowledge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Accelerator Pack (4 workbooks)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0/1 — developer owns AD, SSO, SCCM, Intune configuration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INT-S0-04</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Rights Setup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 developer understands what requires configuration vs. build</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Workbooks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03_Shared/04_Sprint_Workbooks — relevant sprint workbooks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48 hrs before each sprint — developer reads alongside accelerator packs</w:t>
            </w:r>
          </w:p>
        </w:tc>
      </w:tr>
    </w:tbl>
    <w:p>
      <w:pPr>
        <w:spacing w:after="40"/>
      </w:pPr>
    </w:p>
    <w:p>
      <w:pPr>
        <w:pStyle w:val="Heading2"/>
      </w:pPr>
      <w:r>
        <w:t>Phase 3 — The Standard</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 ID</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It Is Used at Phase 3</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INT-UAT-01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Test Pack — Master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Developer understands what will be tested against their build before they build it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How-To</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technical depth — developer who owns Discovery configuration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INT-HT-20</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Integrations How-To (AD/Entra, SSO, SCCM, Intune)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 developer owns integration build-out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AP-04 / AP-05</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Foundations + Realization Accelerator Packs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 developer who owns HAM configuration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INT-LL-03</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Lessons Learned — CMDB Technical Patterns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After first engagement: developer contributes technical lessons</w:t>
            </w:r>
          </w:p>
        </w:tc>
      </w:tr>
    </w:tbl>
    <w:p>
      <w:pPr>
        <w:spacing w:after="40"/>
      </w:pPr>
    </w:p>
    <w:p>
      <w:r>
        <w:br w:type="page"/>
      </w:r>
    </w:p>
    <w:p>
      <w:pPr>
        <w:pStyle w:val="Heading1"/>
      </w:pPr>
      <w:r>
        <w:t>7.  Delivery Mechanism Guidance</w:t>
      </w:r>
    </w:p>
    <w:p>
      <w:pPr>
        <w:spacing w:after="160" w:before="0"/>
      </w:pPr>
      <w:r>
        <w:rPr>
          <w:rFonts w:ascii="Calibri" w:hAnsi="Calibri"/>
          <w:color w:val="1A1A1A"/>
          <w:sz w:val="22"/>
        </w:rPr>
        <w:t>The three-phase content only produces culture change if the delivery mechanism matches the goal. These are the non-negotiable rules for rolling this out.</w:t>
      </w:r>
    </w:p>
    <w:p>
      <w:pPr>
        <w:pStyle w:val="Heading2"/>
      </w:pPr>
      <w:r>
        <w:t>Rule 1 — Facilitate Phase 1, Do Not Email It</w:t>
      </w:r>
    </w:p>
    <w:p>
      <w:pPr>
        <w:spacing w:after="160" w:before="0"/>
      </w:pPr>
      <w:r>
        <w:rPr>
          <w:rFonts w:ascii="Calibri" w:hAnsi="Calibri"/>
          <w:color w:val="1A1A1A"/>
          <w:sz w:val="22"/>
        </w:rPr>
        <w:t>Phase 1 for every role must be a facilitated session — not a SharePoint link with attachments. The format is: practice lead (or senior EM) runs a 90-minute read-through of the 3–4 anchor documents. Participants read aloud, stop to discuss 'but what about when...' questions, and surface the assumptions they bring from their prior delivery experience. This conversation is where the culture shift starts. Documents alone do not change defaults — facilitated discussion of documents does.</w:t>
      </w:r>
    </w:p>
    <w:p>
      <w:pPr>
        <w:pStyle w:val="Heading2"/>
      </w:pPr>
      <w:r>
        <w:t>Rule 2 — Trigger Phase 2 Content Contextually, Not In Advance</w:t>
      </w:r>
    </w:p>
    <w:p>
      <w:pPr>
        <w:spacing w:after="160" w:before="0"/>
      </w:pPr>
      <w:r>
        <w:rPr>
          <w:rFonts w:ascii="Calibri" w:hAnsi="Calibri"/>
          <w:color w:val="1A1A1A"/>
          <w:sz w:val="22"/>
        </w:rPr>
        <w:t>The best time to give a process consultant the Incident Management How-To guide is 48 hours before their first Incident workshop — not during onboarding six weeks earlier. Context-triggered learning produces retention; pre-loading produces shelved documents. Use the sprint schedule as the delivery trigger: 48 hours before each sprint, the consultant gets the how-to, the cheatsheets, and the facilitator guide for that sprint's disciplines.</w:t>
      </w:r>
    </w:p>
    <w:p>
      <w:pPr>
        <w:pStyle w:val="Heading2"/>
      </w:pPr>
      <w:r>
        <w:t>Rule 3 — Make Phase 3 Visible via TBV Tools</w:t>
      </w:r>
    </w:p>
    <w:p>
      <w:pPr>
        <w:spacing w:after="160" w:before="0"/>
      </w:pPr>
      <w:r>
        <w:rPr>
          <w:rFonts w:ascii="Calibri" w:hAnsi="Calibri"/>
          <w:color w:val="1A1A1A"/>
          <w:sz w:val="22"/>
        </w:rPr>
        <w:t>Culture does not stick unless management is checking. The Engagement Health Dashboard (INT-TBV-02) and Customization Variance Tracker (INT-TBV-03) are what convert Phase 3 from aspiration to standard. Once consultants know their EM reviews those dashboards weekly, the default behavior changes. The TBV tools are not auditing tools — they are coaching tools. The EM's job is to see the drift signal early enough to have a coaching conversation, not a corrective one.</w:t>
      </w:r>
    </w:p>
    <w:p>
      <w:pPr>
        <w:pStyle w:val="Heading2"/>
      </w:pPr>
      <w:r>
        <w:t>Rule 4 — Close the Loop With Lessons Learned</w:t>
      </w:r>
    </w:p>
    <w:p>
      <w:pPr>
        <w:spacing w:after="160" w:before="0"/>
      </w:pPr>
      <w:r>
        <w:rPr>
          <w:rFonts w:ascii="Calibri" w:hAnsi="Calibri"/>
          <w:color w:val="1A1A1A"/>
          <w:sz w:val="22"/>
        </w:rPr>
        <w:t>After each engagement's first sprint cycle (typically after Sprint 2), the practice lead runs a 60-minute lessons-learned session using INT-LL-01 and INT-LL-02 as the template. The patterns that emerge feed back into the cheatsheets and how-to guides as living updates. The library is not static — every engagement makes it better. This loop is what converts the library from a one-time build into a compounding practice asset.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PHASED ROLLOUT FOR EXISTING TEAM: For consultants already mid-engagement, do not restart at Phase 1. Identify their current sprint and inject the Phase 2 materials for that sprint (facilitator guide + relevant cheatsheets). Run Phase 1 as a catch-up session at the next available engagement pause point (e.g., between Sprint 2 and Sprint 3). Retroactive onboarding is better than waiting for the next clean start.</w:t>
      </w:r>
    </w:p>
    <w:p>
      <w:pPr>
        <w:pStyle w:val="Heading1"/>
      </w:pPr>
      <w:r>
        <w:t>8.  Quick Reference: Phase 1 Minimums by Role</w:t>
      </w:r>
    </w:p>
    <w:p>
      <w:pPr>
        <w:spacing w:after="160" w:before="0"/>
      </w:pPr>
      <w:r>
        <w:rPr>
          <w:rFonts w:ascii="Calibri" w:hAnsi="Calibri"/>
          <w:color w:val="1A1A1A"/>
          <w:sz w:val="22"/>
        </w:rPr>
        <w:t>The table below is the single-page cheat sheet for practice leads running onboarding sessions. Every person in every role reads INT-CH-01 and INT-CH-04 at Phase 1. The role-specific additions are listed in the third column.</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Universal Phase 1 Docs</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Role-Specific Phase 1 Additions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 (Decision Rights + Engagement Spine sections)</w:t>
              <w:br/>
              <w:t>INT-CH-04 OOTB-First Glossary</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INT-TBV-01 Manager's TBV Playbook</w:t>
              <w:br/>
              <w:t>INT-CH-03 Engagement Decision Rights Reference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INT-CH-01 (OOTB-First Model + Engagement Spine sections)</w:t>
              <w:br/>
              <w:t>INT-CH-04 OOTB-First Glossary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INT-AR-14 Custom-vs-OOTB Decision Framework Cheatsheet</w:t>
              <w:br/>
              <w:t>INT-HT-01 Platform Foundation How-To</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Consultant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 (Workshop Facilitation + OOTB Defense sections)</w:t>
              <w:br/>
              <w:t>INT-CH-04 OOTB-First Glossary</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INT-AR-01 Catalog Rationalization Cheatsheet</w:t>
              <w:br/>
              <w:t>INT-AR-03 SLA Discipline Cheatsheet</w:t>
              <w:br/>
              <w:t>INT-AR-14 Custom-vs-OOTB Decision Framework</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Developer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INT-CH-01 (Customization Council + OOTB Configuration sections)</w:t>
              <w:br/>
              <w:t>INT-CH-04 OOTB-First Glossary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INT-AR-14 Custom-vs-OOTB Decision Framework Cheatsheet</w:t>
            </w:r>
          </w:p>
        </w:tc>
      </w:tr>
    </w:tbl>
    <w:p>
      <w:pPr>
        <w:spacing w:after="40"/>
      </w:pPr>
    </w:p>
    <w:p>
      <w:pPr>
        <w:spacing w:after="160" w:before="0"/>
      </w:pPr>
      <w:r>
        <w:rPr>
          <w:rFonts w:ascii="Calibri" w:hAnsi="Calibri"/>
          <w:color w:val="1A1A1A"/>
          <w:sz w:val="22"/>
        </w:rPr>
        <w:t>After Phase 1 is complete for a cohort, update the Consultant Onboarding Checklist (INT-CH-02) for each individual and file it with the engagement record. Phase 1 completion is a prerequisite for billing to an engagement in the OOTB-first model.</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Internal · ECS Practice Onboarding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