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How This Engagement Works</w:t>
      </w:r>
    </w:p>
    <w:p>
      <w:pPr>
        <w:spacing w:after="160" w:before="0"/>
      </w:pPr>
      <w:r>
        <w:rPr>
          <w:rFonts w:ascii="Calibri" w:hAnsi="Calibri"/>
          <w:color w:val="1A1A1A"/>
          <w:sz w:val="22"/>
        </w:rPr>
        <w:t>ECS Federal delivers ServiceNow using a structured 18-sprint model. Every two weeks, your team participates in workshops and reviews working software. This document explains what ECS brings to the engagement, what your organization needs to bring, and how decisions get made.</w:t>
      </w:r>
    </w:p>
    <w:p>
      <w:pPr>
        <w:pStyle w:val="Heading1"/>
      </w:pPr>
      <w:r>
        <w:t>2.  ECS Federal Team — Who We Are and What We Do</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Responsibilities</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When You Will See Them</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Oversees the engagement, manages risks, runs Sponsor Syncs, owns change management and commercial relationship</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Every sprint; leads bi-weekly Sponsor Sync; available for escalation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Configures ServiceNow, facilitates workshops, presents sprint demos, owns technical delivery</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Every sprint workshop and demo; your primary day-to-day contact during configuration</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Designs CMDB model, integration architecture, and CSDM; supports Lead Consultant on technical decisions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4-5 workshops; technical design reviews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Director</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Senior oversight; available for Tier 1 escalations and governance decisions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Kickoff; available for critical escalations only</w:t>
            </w:r>
          </w:p>
        </w:tc>
      </w:tr>
    </w:tbl>
    <w:p>
      <w:pPr>
        <w:spacing w:after="40"/>
      </w:pPr>
    </w:p>
    <w:p>
      <w:pPr>
        <w:pStyle w:val="Heading1"/>
      </w:pPr>
      <w:r>
        <w:t>3.  Your Organization — What We Need From You</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Responsibilities</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 Commitment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Executive Sponsor</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Final authority on Tier 1 decisions; champions the OOTB model internally; attends Sponsor Syncs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2-3 hours per sprint (Sponsor Sync + escalations as needed)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Sponsor</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Council member; accepts sprint demos; approves go/no-go decisions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4-6 hours per sprint (Council session, demo review)</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Manager</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Schedules workshops; manages SME availability; tracks action items; routes documents for approval</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Approximately 50% time commitment throughout the engagement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Lead / Architect</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 environment management; integration technical liaison; Customization Council member</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participation + technical reviews; approximately 30% time commitment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Owner(s) / SMEs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Subject matter experts who make configuration decisions in workshops for their process area (Incident, Catalog, Change, etc.)</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Full participation in their sprint workshops (typically 2-4 hours per sprint); UAT participation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Lead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Organizes and leads user acceptance testing; coordinates testers; signs off on UAT results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Approximately 50% time during UAT sprint (Sprint 6)</w:t>
            </w:r>
          </w:p>
        </w:tc>
      </w:tr>
    </w:tbl>
    <w:p>
      <w:pPr>
        <w:spacing w:after="40"/>
      </w:pPr>
    </w:p>
    <w:p>
      <w:pPr>
        <w:pStyle w:val="Heading1"/>
      </w:pPr>
      <w:r>
        <w:t>4.  The One Rule That Protects Everyone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ECS operates an OOTB-first delivery model. This means every configuration decision starts with the question: 'Can the ServiceNow platform do this natively?'</w:t>
        <w:br/>
        <w:br/>
        <w:t>When the answer is yes — and it is yes for 95%+ of standard requirements — we configure the OOTB feature. When it is genuinely not possible, we bring it to the Customization Council for a structured decision.</w:t>
        <w:br/>
        <w:br/>
        <w:t>This approach is not a constraint on what you can achieve. It is the discipline that ensures your ServiceNow investment stays upgradeable, maintainable, and valuable long after the engagement ends.</w:t>
      </w:r>
    </w:p>
    <w:p>
      <w:pPr>
        <w:pStyle w:val="Heading1"/>
      </w:pPr>
      <w:r>
        <w:t>5.  What 'Good' Looks Like From Your Team</w:t>
      </w:r>
    </w:p>
    <w:tbl>
      <w:tblPr>
        <w:tblW w:type="auto" w:w="0"/>
        <w:jc w:val="left"/>
        <w:tblLook w:firstColumn="1" w:firstRow="1" w:lastColumn="0" w:lastRow="0" w:noHBand="0" w:noVBand="1" w:val="04A0"/>
      </w:tblPr>
      <w:tblGrid>
        <w:gridCol w:w="4680"/>
        <w:gridCol w:w="4680"/>
      </w:tblGrid>
      <w:tr>
        <w:trPr>
          <w:tblHeader/>
        </w:trPr>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Behavior</w:t>
            </w:r>
          </w:p>
        </w:tc>
        <w:tc>
          <w:tcPr>
            <w:tcW w:type="dxa" w:w="93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It Matters</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SMEs come to workshops having read the Pre-Read document</w:t>
            </w:r>
          </w:p>
        </w:tc>
        <w:tc>
          <w:tcPr>
            <w:tcW w:type="dxa" w:w="93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Pre-reads contain the background your team needs to make good decisions in the session — without them, workshops stall</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Decisions are made in workshops, not deferred</w:t>
            </w:r>
          </w:p>
        </w:tc>
        <w:tc>
          <w:tcPr>
            <w:tcW w:type="dxa" w:w="93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Deferred decisions delay sprint completion and shift the go-live date</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requests go through the Council, not informal conversations</w:t>
            </w:r>
          </w:p>
        </w:tc>
        <w:tc>
          <w:tcPr>
            <w:tcW w:type="dxa" w:w="93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Informal agreements create undocumented scope that creates delivery and budget problems</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demos are attended by the Process Owner and Project Sponsor</w:t>
            </w:r>
          </w:p>
        </w:tc>
        <w:tc>
          <w:tcPr>
            <w:tcW w:type="dxa" w:w="93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demo is your team's opportunity to validate the work before we move on — missed demos mean missed correction opportunities</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is conducted by business users, not IT</w:t>
            </w:r>
          </w:p>
        </w:tc>
        <w:tc>
          <w:tcPr>
            <w:tcW w:type="dxa" w:w="93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validates business outcomes, not technical correctness — it needs the people who will actually use the system</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Issues and questions are logged in the project tracker, not resolved in hallway conversations</w:t>
            </w:r>
          </w:p>
        </w:tc>
        <w:tc>
          <w:tcPr>
            <w:tcW w:type="dxa" w:w="93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Verbal agreements are not tracked, not remembered accurately, and create scope disputes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CLT-EO-02 Roles &amp; Expectations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