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Why Decision Rights Matter</w:t>
      </w:r>
    </w:p>
    <w:p>
      <w:pPr>
        <w:spacing w:after="160" w:before="0"/>
      </w:pPr>
      <w:r>
        <w:rPr>
          <w:rFonts w:ascii="Calibri" w:hAnsi="Calibri"/>
          <w:color w:val="1A1A1A"/>
          <w:sz w:val="22"/>
        </w:rPr>
        <w:t>The most common cause of project delay is a decision waiting for the right person. This guide explains what kinds of decisions arise in a ServiceNow OOTB implementation, who has the authority to make each one, and what happens if a decision is not made on time.</w:t>
      </w:r>
    </w:p>
    <w:p>
      <w:pPr>
        <w:pStyle w:val="Heading1"/>
      </w:pPr>
      <w:r>
        <w:t>2.  Decision Types and Who Decides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Type of Decision</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Examples</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Decides</w:t>
            </w:r>
          </w:p>
        </w:tc>
        <w:tc>
          <w:tcPr>
            <w:tcW w:type="dxa" w:w="302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Typical Timeline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configuration decisions</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How incidents are categorized; which groups are in the assignment rules; what the catalog item form looks like</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Owner (SME) in the workshop</w:t>
            </w:r>
          </w:p>
        </w:tc>
        <w:tc>
          <w:tcPr>
            <w:tcW w:type="dxa" w:w="302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Decided in the sprint workshop — same day</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Cross-department configuration decisions</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Approval chains that span departments; catalog categories visible to all users; SLA definitions</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Sponsor + IT Lead at Customization Council</w:t>
            </w:r>
          </w:p>
        </w:tc>
        <w:tc>
          <w:tcPr>
            <w:tcW w:type="dxa" w:w="302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Within 24 hours of the Council session</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vs. custom decisions</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Whether to use the OOTB approval engine or build a custom process; whether to add a non-standard field</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Customization Council (Project Sponsor + IT Lead + ECS)</w:t>
            </w:r>
          </w:p>
        </w:tc>
        <w:tc>
          <w:tcPr>
            <w:tcW w:type="dxa" w:w="302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Within 24 hours of the Council session</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Go/no-go for sprint acceptance</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Is the sprint demo output acceptable to proceed?</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Sponsor (with input from the Process Owner)</w:t>
            </w:r>
          </w:p>
        </w:tc>
        <w:tc>
          <w:tcPr>
            <w:tcW w:type="dxa" w:w="302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At the sprint demo session</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Go/no-go for production deployment</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Is UAT complete and acceptable for go-live?</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Sponsor (ECS EM provides recommendation)</w:t>
            </w:r>
          </w:p>
        </w:tc>
        <w:tc>
          <w:tcPr>
            <w:tcW w:type="dxa" w:w="302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 the end of Sprint 6 UAT</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Scope changes (new items, timeline changes)</w:t>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Adding a module; extending the timeline; changing a sprint deliverable</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Executive Sponsor + ECS Engagement Manager (via change order)</w:t>
            </w:r>
          </w:p>
        </w:tc>
        <w:tc>
          <w:tcPr>
            <w:tcW w:type="dxa" w:w="302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48-hour SLA from request to decision</w:t>
            </w:r>
          </w:p>
        </w:tc>
      </w:tr>
    </w:tbl>
    <w:p>
      <w:pPr>
        <w:spacing w:after="40"/>
      </w:pPr>
    </w:p>
    <w:p>
      <w:pPr>
        <w:pStyle w:val="Heading1"/>
      </w:pPr>
      <w:r>
        <w:t>3.  What Happens When a Decision Is Delayed</w:t>
      </w:r>
    </w:p>
    <w:tbl>
      <w:tblPr>
        <w:tblW w:type="auto" w:w="0"/>
        <w:jc w:val="left"/>
        <w:tblLook w:firstColumn="1" w:firstRow="1" w:lastColumn="0" w:lastRow="0" w:noHBand="0" w:noVBand="1" w:val="04A0"/>
      </w:tblPr>
      <w:tblGrid>
        <w:gridCol w:w="4680"/>
        <w:gridCol w:w="4680"/>
      </w:tblGrid>
      <w:tr>
        <w:trPr>
          <w:tblHeader/>
        </w:trPr>
        <w:tc>
          <w:tcPr>
            <w:tcW w:type="dxa" w:w="50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If this decision is delayed...</w:t>
            </w:r>
          </w:p>
        </w:tc>
        <w:tc>
          <w:tcPr>
            <w:tcW w:type="dxa" w:w="86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This is the consequence</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configuration decision (SME workshop)</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Workshop closes without a decision; item moves to next sprint's backlog; sprint deliverable may not be complete on schedule</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Council decision (Tier 2)</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defaults to OOTB configuration for the feature; customer can request revision in the next sprint at no additional cost</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Go/no-go for sprint acceptance</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is not formally accepted; ECS cannot open the next sprint; delay cascades to the go-live date</w:t>
            </w:r>
          </w:p>
        </w:tc>
      </w:tr>
      <w:tr>
        <w:tc>
          <w:tcPr>
            <w:tcW w:type="dxa" w:w="50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Go/no-go for production deployment</w:t>
            </w:r>
          </w:p>
        </w:tc>
        <w:tc>
          <w:tcPr>
            <w:tcW w:type="dxa" w:w="86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Production deployment is deferred; hypercare period starts late; team costs continue</w:t>
            </w:r>
          </w:p>
        </w:tc>
      </w:tr>
      <w:tr>
        <w:tc>
          <w:tcPr>
            <w:tcW w:type="dxa" w:w="50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Scope change decision</w:t>
            </w:r>
          </w:p>
        </w:tc>
        <w:tc>
          <w:tcPr>
            <w:tcW w:type="dxa" w:w="86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Requested item is not built until decision is made; no configuration work proceeds on unapproved scope</w:t>
            </w:r>
          </w:p>
        </w:tc>
      </w:tr>
    </w:tbl>
    <w:p>
      <w:pPr>
        <w:spacing w:after="40"/>
      </w:pPr>
    </w:p>
    <w:p>
      <w:pPr>
        <w:pStyle w:val="Heading1"/>
      </w:pPr>
      <w:r>
        <w:t>4.  Your Commitment to Timely Decisions</w:t>
      </w:r>
    </w:p>
    <w:p>
      <w:pPr>
        <w:spacing w:after="160" w:before="0"/>
      </w:pPr>
      <w:r>
        <w:rPr>
          <w:rFonts w:ascii="Calibri" w:hAnsi="Calibri"/>
          <w:color w:val="1A1A1A"/>
          <w:sz w:val="22"/>
        </w:rPr>
        <w:t>By participating in this engagement, your organization commits to making decisions within the timelines above. ECS Federal commits to presenting decisions clearly, with the options and our recommendation documented, so that your team never has to make a decision without sufficient information.</w:t>
      </w:r>
    </w:p>
    <w:p>
      <w:pPr>
        <w:spacing w:after="160" w:before="0"/>
      </w:pPr>
      <w:r>
        <w:rPr>
          <w:rFonts w:ascii="Calibri" w:hAnsi="Calibri"/>
          <w:color w:val="1A1A1A"/>
          <w:sz w:val="22"/>
        </w:rPr>
        <w:t>If your organization cannot make a decision within the defined timeline, ECS will document the delay, add it to the Risk Register, and apply the default OOTB outcome. This protects the sprint schedule and preserves your ability to revise the decision in a future sprint.</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Client · CLT-EO-03 Decision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