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Before the Engagement Starts</w:t>
      </w:r>
    </w:p>
    <w:tbl>
      <w:tblPr>
        <w:tblW w:type="auto" w:w="0"/>
        <w:jc w:val="left"/>
        <w:tblLook w:firstColumn="1" w:firstRow="1" w:lastColumn="0" w:lastRow="0" w:noHBand="0" w:noVBand="1" w:val="04A0"/>
      </w:tblPr>
      <w:tblGrid>
        <w:gridCol w:w="4680"/>
        <w:gridCol w:w="4680"/>
      </w:tblGrid>
      <w:tr>
        <w:trPr>
          <w:tblHeader/>
        </w:trPr>
        <w:tc>
          <w:tcPr>
            <w:tcW w:type="dxa" w:w="50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Question</w:t>
            </w:r>
          </w:p>
        </w:tc>
        <w:tc>
          <w:tcPr>
            <w:tcW w:type="dxa" w:w="86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Answer</w:t>
            </w:r>
          </w:p>
        </w:tc>
      </w:tr>
      <w:tr>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is the OOTB-first approach?</w:t>
            </w:r>
          </w:p>
        </w:tc>
        <w:tc>
          <w:tcPr>
            <w:tcW w:type="dxa" w:w="86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Out-of-the-Box (OOTB) means we configure ServiceNow using the features it ships with, rather than writing custom code or building custom features. ServiceNow has invested over $1 billion in its platform capabilities — our job is to apply them to your environment, not rebuild them.</w:t>
            </w:r>
          </w:p>
        </w:tc>
      </w:tr>
      <w:tr>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Why can we not just replicate our legacy system exactly?</w:t>
            </w:r>
          </w:p>
        </w:tc>
        <w:tc>
          <w:tcPr>
            <w:tcW w:type="dxa" w:w="86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Replicating a legacy system in a new tool re-creates every problem the legacy system had, plus adds new ones from the migration. The OOTB-first approach re-engineers your processes using ServiceNow's built-in best practices — which is what the platform was designed for.</w:t>
            </w:r>
          </w:p>
        </w:tc>
      </w:tr>
      <w:tr>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does '18 weeks' mean?</w:t>
            </w:r>
          </w:p>
        </w:tc>
        <w:tc>
          <w:tcPr>
            <w:tcW w:type="dxa" w:w="86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18 weeks of structured, sprint-based delivery. Every two weeks, you see working software — not just documents. Week 6: live incident management. Week 10: live service catalog. Week 18: full platform go-live. Sprint 0 (weeks 1-2) is setup; Sprint 1 through Sprint 6 is delivery.</w:t>
            </w:r>
          </w:p>
        </w:tc>
      </w:tr>
      <w:tr>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What do we need to have ready before Sprint 1?</w:t>
            </w:r>
          </w:p>
        </w:tc>
        <w:tc>
          <w:tcPr>
            <w:tcW w:type="dxa" w:w="86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Your top requirements are covered in the Sprint 0 Customer Readiness Checklist (CLT-S0-01). The most important: named SMEs confirmed and calendared for Sprint 1 workshops; ServiceNow Dev environment provisioned; Customization Council Charter signed.</w:t>
            </w:r>
          </w:p>
        </w:tc>
      </w:tr>
    </w:tbl>
    <w:p>
      <w:pPr>
        <w:spacing w:after="40"/>
      </w:pPr>
    </w:p>
    <w:p>
      <w:pPr>
        <w:pStyle w:val="Heading1"/>
      </w:pPr>
      <w:r>
        <w:t>2.  During the Engagement</w:t>
      </w:r>
    </w:p>
    <w:tbl>
      <w:tblPr>
        <w:tblW w:type="auto" w:w="0"/>
        <w:jc w:val="left"/>
        <w:tblLook w:firstColumn="1" w:firstRow="1" w:lastColumn="0" w:lastRow="0" w:noHBand="0" w:noVBand="1" w:val="04A0"/>
      </w:tblPr>
      <w:tblGrid>
        <w:gridCol w:w="4680"/>
        <w:gridCol w:w="4680"/>
      </w:tblGrid>
      <w:tr>
        <w:trPr>
          <w:tblHeader/>
        </w:trPr>
        <w:tc>
          <w:tcPr>
            <w:tcW w:type="dxa" w:w="50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Question</w:t>
            </w:r>
          </w:p>
        </w:tc>
        <w:tc>
          <w:tcPr>
            <w:tcW w:type="dxa" w:w="86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Answer</w:t>
            </w:r>
          </w:p>
        </w:tc>
      </w:tr>
      <w:tr>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is a workshop?</w:t>
            </w:r>
          </w:p>
        </w:tc>
        <w:tc>
          <w:tcPr>
            <w:tcW w:type="dxa" w:w="86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 2-4 hour working session where your process owners make configuration decisions with ECS facilitation. We bring the Decision Topic Guides and the Pre-Read; you bring the people with authority to make decisions. Workshops are not presentations — they are working meetings.</w:t>
            </w:r>
          </w:p>
        </w:tc>
      </w:tr>
      <w:tr>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What is a sprint demo?</w:t>
            </w:r>
          </w:p>
        </w:tc>
        <w:tc>
          <w:tcPr>
            <w:tcW w:type="dxa" w:w="86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At the end of every sprint, ECS shows your leadership team exactly what was configured in the platform. This is your chance to validate the work and raise questions before we move to the next sprint. Sprint demos are decision events — your Project Sponsor accepts or raises issues.</w:t>
            </w:r>
          </w:p>
        </w:tc>
      </w:tr>
      <w:tr>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Can we request new features or changes during the engagement?</w:t>
            </w:r>
          </w:p>
        </w:tc>
        <w:tc>
          <w:tcPr>
            <w:tcW w:type="dxa" w:w="86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Yes — through the Customization Council process. Any request that goes beyond the OOTB configuration agreed in your workshops is classified, documented, and brought to the Council. If approved, it is scheduled. If declined, the rationale is documented. Informal requests are not actioned.</w:t>
            </w:r>
          </w:p>
        </w:tc>
      </w:tr>
      <w:tr>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What if a sprint falls behind?</w:t>
            </w:r>
          </w:p>
        </w:tc>
        <w:tc>
          <w:tcPr>
            <w:tcW w:type="dxa" w:w="86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will notify your Project Manager and Project Sponsor immediately. We will present options: extend the sprint, reduce scope, or carry forward to the next sprint. You make the decision — we provide the options and the impact assessment.</w:t>
            </w:r>
          </w:p>
        </w:tc>
      </w:tr>
      <w:tr>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How do we track progress?</w:t>
            </w:r>
          </w:p>
        </w:tc>
        <w:tc>
          <w:tcPr>
            <w:tcW w:type="dxa" w:w="86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Your ECS Engagement Manager provides a weekly status update. Sprint demos show you the working software every two weeks. The project plan is shared and updated weekly. For escalations, you contact the ECS EM directly.</w:t>
            </w:r>
          </w:p>
        </w:tc>
      </w:tr>
      <w:tr>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What is the Customization Council?</w:t>
            </w:r>
          </w:p>
        </w:tc>
        <w:tc>
          <w:tcPr>
            <w:tcW w:type="dxa" w:w="86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 bi-weekly governance session where ECS and your leadership review any requests to deviate from the OOTB platform. It meets after every sprint demo. Think of it as the quality gate that keeps your platform clean and your investment protected.</w:t>
            </w:r>
          </w:p>
        </w:tc>
      </w:tr>
    </w:tbl>
    <w:p>
      <w:pPr>
        <w:spacing w:after="40"/>
      </w:pPr>
    </w:p>
    <w:p>
      <w:pPr>
        <w:pStyle w:val="Heading1"/>
      </w:pPr>
      <w:r>
        <w:t>3.  After Go-Live</w:t>
      </w:r>
    </w:p>
    <w:tbl>
      <w:tblPr>
        <w:tblW w:type="auto" w:w="0"/>
        <w:jc w:val="left"/>
        <w:tblLook w:firstColumn="1" w:firstRow="1" w:lastColumn="0" w:lastRow="0" w:noHBand="0" w:noVBand="1" w:val="04A0"/>
      </w:tblPr>
      <w:tblGrid>
        <w:gridCol w:w="4680"/>
        <w:gridCol w:w="4680"/>
      </w:tblGrid>
      <w:tr>
        <w:trPr>
          <w:tblHeader/>
        </w:trPr>
        <w:tc>
          <w:tcPr>
            <w:tcW w:type="dxa" w:w="50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Question</w:t>
            </w:r>
          </w:p>
        </w:tc>
        <w:tc>
          <w:tcPr>
            <w:tcW w:type="dxa" w:w="86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Answer</w:t>
            </w:r>
          </w:p>
        </w:tc>
      </w:tr>
      <w:tr>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is hypercare?</w:t>
            </w:r>
          </w:p>
        </w:tc>
        <w:tc>
          <w:tcPr>
            <w:tcW w:type="dxa" w:w="86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 2-4 week period after go-live where ECS provides elevated support — faster response times, proactive monitoring, and a priority fix window for any post-go-live issues. The hypercare period is defined in your SOW.</w:t>
            </w:r>
          </w:p>
        </w:tc>
      </w:tr>
      <w:tr>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Who supports the platform after hypercare?</w:t>
            </w:r>
          </w:p>
        </w:tc>
        <w:tc>
          <w:tcPr>
            <w:tcW w:type="dxa" w:w="86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ServiceNow provides platform-level support under your license. Your IT team (or a ServiceNow partner) handles ongoing configuration and administration. ECS provides knowledge transfer throughout the engagement so your team is ready before hypercare ends.</w:t>
            </w:r>
          </w:p>
        </w:tc>
      </w:tr>
      <w:tr>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Can we add new features after go-live?</w:t>
            </w:r>
          </w:p>
        </w:tc>
        <w:tc>
          <w:tcPr>
            <w:tcW w:type="dxa" w:w="86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Yes. Any additional configuration can be scoped as a Phase 2 engagement. ServiceNow also upgrades twice a year — each upgrade delivers new OOTB capabilities that your team can activate. The OOTB-first model means you benefit from every upgrade automatically.</w:t>
            </w:r>
          </w:p>
        </w:tc>
      </w:tr>
      <w:tr>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What do we own at the end of the engagement?</w:t>
            </w:r>
          </w:p>
        </w:tc>
        <w:tc>
          <w:tcPr>
            <w:tcW w:type="dxa" w:w="86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Everything: your configured ServiceNow instance, all update sets, all ECS-produced documentation, all workshop outputs, and the knowledge your team gained through the engagement. ECS does not retain any proprietary configuration — it is all yours.</w:t>
            </w:r>
          </w:p>
        </w:tc>
      </w:tr>
    </w:tbl>
    <w:p>
      <w:pPr>
        <w:spacing w:after="40"/>
      </w:pP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Confidential</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Client · CLT-EO-05 Engagement FAQ</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