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This Document?</w:t>
      </w:r>
    </w:p>
    <w:p>
      <w:pPr>
        <w:spacing w:after="160" w:before="0"/>
      </w:pPr>
      <w:r>
        <w:rPr>
          <w:rFonts w:ascii="Calibri" w:hAnsi="Calibri"/>
          <w:color w:val="1A1A1A"/>
          <w:sz w:val="22"/>
        </w:rPr>
        <w:t>This pack is your team's orientation to the ECS Federal ServiceNow OOTB-first delivery model. Read this before the kickoff meeting. Each section is short and direct. By the end, you will know what to expect, what is expected of you, and how to make the most of the next 18 weeks.</w:t>
      </w:r>
    </w:p>
    <w:p>
      <w:pPr>
        <w:pStyle w:val="Heading1"/>
      </w:pPr>
      <w:r>
        <w:t>2.  The OOTB Commitment — Plain Language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ServiceNow is a mature enterprise platform. It was designed to handle the full spectrum of IT service, asset, and operations management — out of the box. When organizations customize it heavily, they create expensive maintenance burdens and lose the ability to benefit from the upgrades they are paying for.</w:t>
        <w:br/>
        <w:br/>
        <w:t>ECS Federal's job is to configure ServiceNow the right way — not the familiar way. Some of what you see will look different from your current system. That is intentional. If something is different from what you expected, ask why before asking us to change it. There is almost always a good reason.</w:t>
      </w:r>
    </w:p>
    <w:p>
      <w:pPr>
        <w:pStyle w:val="Heading1"/>
      </w:pPr>
      <w:r>
        <w:t>3.  The 18-Week Sprint Model — What to Expect Each Sprint</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Gets Built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Your Team Does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(Weeks 1-2)</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Setup: governance, environment, Sprint 1 preparation</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Sign the Council Charter; confirm SME availability; complete the Readiness Checklist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(Weeks 3-4)</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foundation + Incident Management go-live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 Incident Management workshop; make configuration decisions; attend sprint demo</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(Weeks 5-6)</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Catalog + Employee Center go-live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 Catalog workshops; provide top 20 catalog item list; attend sprint demo</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 (Weeks 7-8)</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Base + Virtual Agent configured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 Knowledge and VA workshops; provide article content; attend sprint demo</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(Weeks 9-12)</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Management + CMDB + CSDM + Discovery</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 all 4 workshops; provide service inventory; attend sprint demo</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(Weeks 13-15)</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HAM/SAM + Service Graph + Integrations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 Asset and Integration workshops; provide asset data; attend sprint demo</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 (Weeks 16-18)</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 UAT + Go-Live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UAT; make go/no-go decision; participate in production deployment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(Weeks 18+)</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Post-go-live stabilization and knowledge transfer</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the system; report issues; attend daily standup for first week post-go-live</w:t>
            </w:r>
          </w:p>
        </w:tc>
      </w:tr>
    </w:tbl>
    <w:p>
      <w:pPr>
        <w:spacing w:after="40"/>
      </w:pPr>
    </w:p>
    <w:p>
      <w:pPr>
        <w:pStyle w:val="Heading1"/>
      </w:pPr>
      <w:r>
        <w:t>4.  The Three Most Important Habits for Your Team</w:t>
      </w:r>
    </w:p>
    <w:tbl>
      <w:tblPr>
        <w:tblW w:type="auto" w:w="0"/>
        <w:jc w:val="left"/>
        <w:tblLook w:firstColumn="1" w:firstRow="1" w:lastColumn="0" w:lastRow="0" w:noHBand="0" w:noVBand="1" w:val="04A0"/>
      </w:tblPr>
      <w:tblGrid>
        <w:gridCol w:w="4680"/>
        <w:gridCol w:w="468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Habit</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It Matters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Read the Pre-Read before every workshop</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Workshops are decision sessions — your team needs background before they can decide. Without the Pre-Read, workshops run over time and decisions get deferred.</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Make decisions in the room</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deferred decision pushes its sprint deliverable back. Decisions made in the workshop take 5 minutes. Decisions deferred to follow-up emails take 5 days.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Bring customization requests to the Council — not to ECS consultants informally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Informal requests do not get scheduled, do not get documented, and create misunderstandings about scope. The Council process protects you as much as it protects ECS.</w:t>
            </w:r>
          </w:p>
        </w:tc>
      </w:tr>
    </w:tbl>
    <w:p>
      <w:pPr>
        <w:spacing w:after="40"/>
      </w:pPr>
    </w:p>
    <w:p>
      <w:pPr>
        <w:pStyle w:val="Heading1"/>
      </w:pPr>
      <w:r>
        <w:t>5.  Key Documents in Your Engagement Pack</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Is</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Should Read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CLT-EO-02 Roles &amp; Expectations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Who does what on both sides of the engagement</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stakeholders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CLT-EO-03 Decision Rights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Who decides what, and what happens when decisions are delayed</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Sponsors, PM, IT Lead</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CLT-EO-05 Engagement FAQ</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Answers to the most common questions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stakeholders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CLT-S0-01 Customer Readiness Checklist</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your team needs to have in place before Sprint 1</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Manager, IT Lead</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CLT-S0-04 SME Time-Commitment Calendar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each SME is needed and for how long</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PM, Department Managers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Topic Guides (CLT-DT series)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Background on each configuration decision area</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Relevant SME before each workshop</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Pre-Reads (CLT-WP series)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Deeper background on each module to prepare for workshops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Relevant SME before each workshop</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CLT-S0-05 Sprint 0 Pre-Reads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