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Happening This Sprint</w:t>
      </w:r>
    </w:p>
    <w:p>
      <w:pPr>
        <w:spacing w:after="160" w:before="0"/>
      </w:pPr>
      <w:r>
        <w:rPr>
          <w:rFonts w:ascii="Calibri" w:hAnsi="Calibri"/>
          <w:color w:val="1A1A1A"/>
          <w:sz w:val="22"/>
        </w:rPr>
        <w:t>ECS stands up the platform architecture, defines and validates the CSDM service model, and runs ITSM design workshops to align your legacy processes with OOTB best practices. By the end of Sprint 1, your platform foundation is configured and ITSM design decisions are locked in — ready for build to begin in Sprint 3.</w:t>
      </w:r>
    </w:p>
    <w:p>
      <w:pPr>
        <w:pStyle w:val="Heading1"/>
      </w:pPr>
      <w:r>
        <w:t>2.  Workshops This Sprint</w:t>
      </w:r>
    </w:p>
    <w:tbl>
      <w:tblPr>
        <w:tblW w:type="auto" w:w="0"/>
        <w:jc w:val="left"/>
        <w:tblLook w:firstColumn="1" w:firstRow="1" w:lastColumn="0" w:lastRow="0" w:noHBand="0" w:noVBand="1" w:val="04A0"/>
      </w:tblPr>
      <w:tblGrid>
        <w:gridCol w:w="3168"/>
        <w:gridCol w:w="2880"/>
        <w:gridCol w:w="1728"/>
        <w:gridCol w:w="5904"/>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Workshop</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Attends</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Duration</w:t>
            </w:r>
          </w:p>
        </w:tc>
        <w:tc>
          <w:tcPr>
            <w:tcW w:type="dxa" w:w="59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Decisions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Architecture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Lead, System Admin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Domain model, user roles, group naming, instance strategy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Definition Workshop</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Architecture Lead, IT Lead, Business SMEs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 hrs</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Business services to map, service classification, service owner assignments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Design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 Owner, IT Lead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vs. reengineer decisions for each ITSM process; OOTB alignment</w:t>
            </w:r>
          </w:p>
        </w:tc>
      </w:tr>
    </w:tbl>
    <w:p>
      <w:pPr>
        <w:spacing w:after="40"/>
      </w:pPr>
    </w:p>
    <w:p>
      <w:pPr>
        <w:pStyle w:val="Heading1"/>
      </w:pPr>
      <w:r>
        <w:t>3.  Decisions Your Team Needs to Make</w:t>
      </w:r>
    </w:p>
    <w:p>
      <w:pPr>
        <w:spacing w:after="160" w:before="0"/>
      </w:pPr>
      <w:r>
        <w:rPr>
          <w:rFonts w:ascii="Calibri" w:hAnsi="Calibri"/>
          <w:color w:val="1A1A1A"/>
          <w:sz w:val="22"/>
        </w:rPr>
        <w:t>These decisions will be made in the workshops above. Please come prepared to decide — not to gather more information.</w:t>
      </w:r>
    </w:p>
    <w:p>
      <w:pPr>
        <w:pStyle w:val="ListBullet"/>
        <w:spacing w:after="40"/>
        <w:ind w:left="360"/>
      </w:pPr>
      <w:r>
        <w:rPr>
          <w:rFonts w:ascii="Calibri" w:hAnsi="Calibri"/>
          <w:sz w:val="22"/>
        </w:rPr>
        <w:t>Platform domain model (single domain or multi-domain)</w:t>
      </w:r>
    </w:p>
    <w:p>
      <w:pPr>
        <w:pStyle w:val="ListBullet"/>
        <w:spacing w:after="40"/>
        <w:ind w:left="360"/>
      </w:pPr>
      <w:r>
        <w:rPr>
          <w:rFonts w:ascii="Calibri" w:hAnsi="Calibri"/>
          <w:sz w:val="22"/>
        </w:rPr>
        <w:t>User role and group naming conventions</w:t>
      </w:r>
    </w:p>
    <w:p>
      <w:pPr>
        <w:pStyle w:val="ListBullet"/>
        <w:spacing w:after="40"/>
        <w:ind w:left="360"/>
      </w:pPr>
      <w:r>
        <w:rPr>
          <w:rFonts w:ascii="Calibri" w:hAnsi="Calibri"/>
          <w:sz w:val="22"/>
        </w:rPr>
        <w:t>Top 10–15 business services for CSDM mapping</w:t>
      </w:r>
    </w:p>
    <w:p>
      <w:pPr>
        <w:pStyle w:val="ListBullet"/>
        <w:spacing w:after="40"/>
        <w:ind w:left="360"/>
      </w:pPr>
      <w:r>
        <w:rPr>
          <w:rFonts w:ascii="Calibri" w:hAnsi="Calibri"/>
          <w:sz w:val="22"/>
        </w:rPr>
        <w:t>Service classification and service owner assignments</w:t>
      </w:r>
    </w:p>
    <w:p>
      <w:pPr>
        <w:pStyle w:val="ListBullet"/>
        <w:spacing w:after="40"/>
        <w:ind w:left="360"/>
      </w:pPr>
      <w:r>
        <w:rPr>
          <w:rFonts w:ascii="Calibri" w:hAnsi="Calibri"/>
          <w:sz w:val="22"/>
        </w:rPr>
        <w:t>Which ITSM processes to adopt OOTB vs. configure</w:t>
      </w:r>
    </w:p>
    <w:p>
      <w:pPr>
        <w:pStyle w:val="Heading1"/>
      </w:pPr>
      <w:r>
        <w:t>4.  Sprint Demo Preview</w:t>
      </w:r>
    </w:p>
    <w:p>
      <w:pPr>
        <w:spacing w:after="160" w:before="0"/>
      </w:pPr>
      <w:r>
        <w:rPr>
          <w:rFonts w:ascii="Calibri" w:hAnsi="Calibri"/>
          <w:color w:val="1A1A1A"/>
          <w:sz w:val="22"/>
        </w:rPr>
        <w:t>At the end of Sprint 1, your Project Sponsor and relevant SMEs will see:</w:t>
      </w:r>
    </w:p>
    <w:p>
      <w:pPr>
        <w:spacing w:after="160" w:before="0"/>
      </w:pPr>
      <w:r>
        <w:rPr>
          <w:rFonts w:ascii="Calibri" w:hAnsi="Calibri"/>
          <w:color w:val="1A1A1A"/>
          <w:sz w:val="22"/>
        </w:rPr>
        <w:t>Platform foundation live in instance with group and role structure; CSDM service map with top business services; ITSM design decisions documented and signed off in the Customization Council.</w:t>
      </w:r>
    </w:p>
    <w:p>
      <w:pPr>
        <w:pStyle w:val="Heading1"/>
      </w:pPr>
      <w:r>
        <w:t>5.  What to Bring</w:t>
      </w:r>
    </w:p>
    <w:p>
      <w:pPr>
        <w:spacing w:after="160" w:before="0"/>
      </w:pPr>
      <w:r>
        <w:rPr>
          <w:rFonts w:ascii="Calibri" w:hAnsi="Calibri"/>
          <w:color w:val="1A1A1A"/>
          <w:sz w:val="22"/>
        </w:rPr>
        <w:t>Current org chart and IT group names; list of your top 15 critical business services with supporting applications; any existing ITSM process documentation (Visio, Word, email chains — any format).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CLT-PS-01 Sprint 1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