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What Is Happening This Sprint</w:t>
      </w:r>
    </w:p>
    <w:p>
      <w:pPr>
        <w:spacing w:after="160" w:before="0"/>
      </w:pPr>
      <w:r>
        <w:rPr>
          <w:rFonts w:ascii="Calibri" w:hAnsi="Calibri"/>
          <w:color w:val="1A1A1A"/>
          <w:sz w:val="22"/>
        </w:rPr>
        <w:t>Sprint 6 closes the engagement. ECS delivers Hardware Asset Management, finalizes all remaining catalog items (13–15 total), stabilizes the environment, completes UAT, and deploys to production. Your team’s focus this sprint is validation, go-live authorization, and knowledge transfer.</w:t>
      </w:r>
    </w:p>
    <w:p>
      <w:pPr>
        <w:pStyle w:val="Heading1"/>
      </w:pPr>
      <w:r>
        <w:t>2.  Workshops This Sprint</w:t>
      </w:r>
    </w:p>
    <w:tbl>
      <w:tblPr>
        <w:tblW w:type="auto" w:w="0"/>
        <w:jc w:val="left"/>
        <w:tblLook w:firstColumn="1" w:firstRow="1" w:lastColumn="0" w:lastRow="0" w:noHBand="0" w:noVBand="1" w:val="04A0"/>
      </w:tblPr>
      <w:tblGrid>
        <w:gridCol w:w="3168"/>
        <w:gridCol w:w="2880"/>
        <w:gridCol w:w="1728"/>
        <w:gridCol w:w="5904"/>
      </w:tblGrid>
      <w:tr>
        <w:trPr>
          <w:tblHeader/>
        </w:trPr>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Workshop</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Attends</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Duration</w:t>
            </w:r>
          </w:p>
        </w:tc>
        <w:tc>
          <w:tcPr>
            <w:tcW w:type="dxa" w:w="59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Key Decisions</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HAM Workshop</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IT Asset Manager, Procurement Lead</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hrs</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Asset lifecycle stages and state transitions, stock room structure, software normalization approach</w:t>
            </w:r>
          </w:p>
        </w:tc>
      </w:tr>
      <w:tr>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Catalog Completion Workshop</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Service Desk Lead, Business SMEs</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2–3 hrs</w:t>
            </w:r>
          </w:p>
        </w:tc>
        <w:tc>
          <w:tcPr>
            <w:tcW w:type="dxa" w:w="59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Remaining catalog items reviewed, tested, and finalized; leveraging existing workflows where possible</w:t>
            </w:r>
          </w:p>
        </w:tc>
      </w:tr>
      <w:tr>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UAT Kick-off and Execution</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Sponsor, UAT Testers</w:t>
            </w:r>
          </w:p>
        </w:tc>
        <w:tc>
          <w:tcPr>
            <w:tcW w:type="dxa" w:w="172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 days</w:t>
            </w:r>
          </w:p>
        </w:tc>
        <w:tc>
          <w:tcPr>
            <w:tcW w:type="dxa" w:w="59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End-to-end testing across all modules, defect triage, go/no-go decision</w:t>
            </w:r>
          </w:p>
        </w:tc>
      </w:tr>
    </w:tbl>
    <w:p>
      <w:pPr>
        <w:spacing w:after="40"/>
      </w:pPr>
    </w:p>
    <w:p>
      <w:pPr>
        <w:pStyle w:val="Heading1"/>
      </w:pPr>
      <w:r>
        <w:t>3.  Decisions Your Team Needs to Make</w:t>
      </w:r>
    </w:p>
    <w:p>
      <w:pPr>
        <w:spacing w:after="160" w:before="0"/>
      </w:pPr>
      <w:r>
        <w:rPr>
          <w:rFonts w:ascii="Calibri" w:hAnsi="Calibri"/>
          <w:color w:val="1A1A1A"/>
          <w:sz w:val="22"/>
        </w:rPr>
        <w:t>These decisions will be made in the workshops above. Please come prepared to decide — not to gather more information.</w:t>
      </w:r>
    </w:p>
    <w:p>
      <w:pPr>
        <w:pStyle w:val="ListBullet"/>
        <w:spacing w:after="40"/>
        <w:ind w:left="360"/>
      </w:pPr>
      <w:r>
        <w:rPr>
          <w:rFonts w:ascii="Calibri" w:hAnsi="Calibri"/>
          <w:sz w:val="22"/>
        </w:rPr>
        <w:t>Asset lifecycle stages and state transitions for your organization</w:t>
      </w:r>
    </w:p>
    <w:p>
      <w:pPr>
        <w:pStyle w:val="ListBullet"/>
        <w:spacing w:after="40"/>
        <w:ind w:left="360"/>
      </w:pPr>
      <w:r>
        <w:rPr>
          <w:rFonts w:ascii="Calibri" w:hAnsi="Calibri"/>
          <w:sz w:val="22"/>
        </w:rPr>
        <w:t>Stock room structure and reorder thresholds</w:t>
      </w:r>
    </w:p>
    <w:p>
      <w:pPr>
        <w:pStyle w:val="ListBullet"/>
        <w:spacing w:after="40"/>
        <w:ind w:left="360"/>
      </w:pPr>
      <w:r>
        <w:rPr>
          <w:rFonts w:ascii="Calibri" w:hAnsi="Calibri"/>
          <w:sz w:val="22"/>
        </w:rPr>
        <w:t>Software normalization approach (publisher and product normalization)</w:t>
      </w:r>
    </w:p>
    <w:p>
      <w:pPr>
        <w:pStyle w:val="ListBullet"/>
        <w:spacing w:after="40"/>
        <w:ind w:left="360"/>
      </w:pPr>
      <w:r>
        <w:rPr>
          <w:rFonts w:ascii="Calibri" w:hAnsi="Calibri"/>
          <w:sz w:val="22"/>
        </w:rPr>
        <w:t>Final catalog items approved (target: 13–15 total)</w:t>
      </w:r>
    </w:p>
    <w:p>
      <w:pPr>
        <w:pStyle w:val="ListBullet"/>
        <w:spacing w:after="40"/>
        <w:ind w:left="360"/>
      </w:pPr>
      <w:r>
        <w:rPr>
          <w:rFonts w:ascii="Calibri" w:hAnsi="Calibri"/>
          <w:sz w:val="22"/>
        </w:rPr>
        <w:t>UAT go/no-go criteria and tester sign-off</w:t>
      </w:r>
    </w:p>
    <w:p>
      <w:pPr>
        <w:pStyle w:val="ListBullet"/>
        <w:spacing w:after="40"/>
        <w:ind w:left="360"/>
      </w:pPr>
      <w:r>
        <w:rPr>
          <w:rFonts w:ascii="Calibri" w:hAnsi="Calibri"/>
          <w:sz w:val="22"/>
        </w:rPr>
        <w:t>Production deployment date and change window</w:t>
      </w:r>
    </w:p>
    <w:p>
      <w:pPr>
        <w:pStyle w:val="Heading1"/>
      </w:pPr>
      <w:r>
        <w:t>4.  Sprint Demo Preview</w:t>
      </w:r>
    </w:p>
    <w:p>
      <w:pPr>
        <w:spacing w:after="160" w:before="0"/>
      </w:pPr>
      <w:r>
        <w:rPr>
          <w:rFonts w:ascii="Calibri" w:hAnsi="Calibri"/>
          <w:color w:val="1A1A1A"/>
          <w:sz w:val="22"/>
        </w:rPr>
        <w:t>At the end of Sprint 6, your Project Sponsor and relevant SMEs will see:</w:t>
      </w:r>
    </w:p>
    <w:p>
      <w:pPr>
        <w:spacing w:after="160" w:before="0"/>
      </w:pPr>
      <w:r>
        <w:rPr>
          <w:rFonts w:ascii="Calibri" w:hAnsi="Calibri"/>
          <w:color w:val="1A1A1A"/>
          <w:sz w:val="22"/>
        </w:rPr>
        <w:t>Hardware asset receive-to-dispose lifecycle; stock room inventory and reorder workflow; all catalog items live in Employee Center; UAT test pack walkthrough with go-live authorization sign-off.</w:t>
      </w:r>
    </w:p>
    <w:p>
      <w:pPr>
        <w:pStyle w:val="Heading1"/>
      </w:pPr>
      <w:r>
        <w:t>5.  What to Bring</w:t>
      </w:r>
    </w:p>
    <w:p>
      <w:pPr>
        <w:spacing w:after="160" w:before="0"/>
      </w:pPr>
      <w:r>
        <w:rPr>
          <w:rFonts w:ascii="Calibri" w:hAnsi="Calibri"/>
          <w:color w:val="1A1A1A"/>
          <w:sz w:val="22"/>
        </w:rPr>
        <w:t>Current hardware asset inventory (any format); top software titles and license counts; UAT tester list with assigned test scenarios; production deployment change window confirmation.</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Client · CLT-PS-06 Sprint 6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