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APPROVAL DISCIPLINE</w:t>
      </w:r>
    </w:p>
    <w:p>
      <w:pPr>
        <w:spacing w:before="0" w:after="40"/>
      </w:pPr>
      <w:r>
        <w:rPr>
          <w:rFonts w:ascii="Calibri" w:hAnsi="Calibri"/>
          <w:b/>
          <w:color w:val="0B1F3A"/>
          <w:sz w:val="56"/>
        </w:rPr>
        <w:t>Approval Discipline</w:t>
      </w:r>
    </w:p>
    <w:p>
      <w:pPr>
        <w:spacing w:before="120" w:after="400"/>
      </w:pPr>
      <w:r>
        <w:rPr>
          <w:rFonts w:ascii="Calibri" w:hAnsi="Calibri"/>
          <w:i/>
          <w:color w:val="0D9488"/>
          <w:sz w:val="24"/>
        </w:rPr>
        <w:t>A decision guide for configuring approvals that are necessary, traceable, and no more burdensome than they need to be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Process Managers, Service Owners, IT Leadership, Catalog Owners, Change Managers</w:t>
      </w:r>
    </w:p>
    <w:p>
      <w:pPr>
        <w:spacing w:after="40"/>
      </w:pPr>
      <w:r>
        <w:rPr>
          <w:rFonts w:ascii="Calibri" w:hAnsi="Calibri"/>
          <w:b w:val="0"/>
          <w:i w:val="0"/>
          <w:color w:val="475569"/>
          <w:sz w:val="20"/>
        </w:rPr>
        <w:t>Companion to: Service Catalog Decision Guide · Change Management Workshop Pre-Read</w:t>
      </w:r>
    </w:p>
    <w:p>
      <w:pPr>
        <w:spacing w:after="80"/>
      </w:pPr>
      <w:r>
        <w:rPr>
          <w:rFonts w:ascii="Calibri" w:hAnsi="Calibri"/>
          <w:b w:val="0"/>
          <w:i w:val="0"/>
          <w:color w:val="475569"/>
          <w:sz w:val="20"/>
        </w:rPr>
        <w:t>Document ID: CLT-DT-05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Approvals exist to ensure that changes to IT assets or services have appropriate oversight before they proceed. In theory, every approval adds value. In practice, unnecessary approvals are one of the most common drivers of two expensive behaviors: abandonment (users give up and ask someone verbally) and routing-around (users use channels that bypass the approval entirely).</w:t>
      </w:r>
    </w:p>
    <w:p>
      <w:pPr>
        <w:spacing w:after="160" w:before="0"/>
      </w:pPr>
      <w:r>
        <w:rPr>
          <w:rFonts w:ascii="Calibri" w:hAnsi="Calibri"/>
          <w:color w:val="1A1A1A"/>
          <w:sz w:val="22"/>
        </w:rPr>
        <w:t>ServiceNow's approval engine is powerful and configurable. It can implement sequential approvals, parallel approvals, group approvals, threshold-based approvals, and auto-approvals — each with its own timeout, escalation, and notification logic. That power makes the design decision more important: a well-designed approval structure is invisible to users who get approved quickly and visible only when oversight genuinely matters.</w:t>
      </w:r>
    </w:p>
    <w:p>
      <w:pPr>
        <w:spacing w:after="160" w:before="0"/>
      </w:pPr>
      <w:r>
        <w:rPr>
          <w:rFonts w:ascii="Calibri" w:hAnsi="Calibri"/>
          <w:color w:val="1A1A1A"/>
          <w:sz w:val="22"/>
        </w:rPr>
        <w:t>The four decisions in this guide address how to identify which approvals are necessary, how to implement them with minimum friction, and how to prevent approval accumulation from re-occurring after go-live.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Approval Discipline Matters Now</w:t>
      </w:r>
    </w:p>
    <w:p>
      <w:pPr>
        <w:pStyle w:val="Heading2"/>
      </w:pPr>
      <w:r>
        <w:t>Unnecessary approvals create workarounds that bypass the system entirely</w:t>
      </w:r>
    </w:p>
    <w:p>
      <w:pPr>
        <w:spacing w:after="160" w:before="0"/>
      </w:pPr>
      <w:r>
        <w:rPr>
          <w:rFonts w:ascii="Calibri" w:hAnsi="Calibri"/>
          <w:color w:val="1A1A1A"/>
          <w:sz w:val="22"/>
        </w:rPr>
        <w:t>When approval chains are too long or too slow, users learn to route around them. They ask managers verbally, they use personal email to request access, they have a colleague submit the ticket on their behalf. Each workaround removes a record from the system that should be there — reducing the data quality that AI and reporting depend on, and creating audit gaps that surface as findings.</w:t>
      </w:r>
    </w:p>
    <w:p>
      <w:pPr>
        <w:pStyle w:val="Heading2"/>
      </w:pPr>
      <w:r>
        <w:t>Approval friction concentrates in the highest-volume, lowest-risk requests</w:t>
      </w:r>
    </w:p>
    <w:p>
      <w:pPr>
        <w:spacing w:after="160" w:before="0"/>
      </w:pPr>
      <w:r>
        <w:rPr>
          <w:rFonts w:ascii="Calibri" w:hAnsi="Calibri"/>
          <w:color w:val="1A1A1A"/>
          <w:sz w:val="22"/>
        </w:rPr>
        <w:t>The requests that generate the most approval traffic are usually the most routine: standard software licenses, basic access requests, hardware replacements. These are also the requests where the business case for approval is weakest. Concentrating approval governance on high-risk, non-standard requests — while pre-approving routine work — is the design principle that produces the best ratio of control to friction.</w:t>
      </w:r>
    </w:p>
    <w:p>
      <w:pPr>
        <w:pStyle w:val="Heading2"/>
      </w:pPr>
      <w:r>
        <w:t>Auto-approval and Standard Change logic directly reduce CAB burden</w:t>
      </w:r>
    </w:p>
    <w:p>
      <w:pPr>
        <w:spacing w:after="160" w:before="0"/>
      </w:pPr>
      <w:r>
        <w:rPr>
          <w:rFonts w:ascii="Calibri" w:hAnsi="Calibri"/>
          <w:color w:val="1A1A1A"/>
          <w:sz w:val="22"/>
        </w:rPr>
        <w:t>For change management, the single highest-leverage design decision is how many changes qualify as Standard (pre-approved). Every change that qualifies as Standard removes one item from the CAB agenda, reduces the time between change request and implementation, and gives the team executing the change a cleaner record. The Standard Change library is the most direct path to a lighter CAB workload.</w:t>
      </w:r>
    </w:p>
    <w:p>
      <w:r>
        <w:br w:type="page"/>
      </w:r>
    </w:p>
    <w:p>
      <w:pPr>
        <w:pStyle w:val="Heading1"/>
      </w:pPr>
      <w:r>
        <w:t>2.  The Signals That your approval configuration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Requests sit in approval queues for days</w:t>
      </w:r>
    </w:p>
    <w:p>
      <w:pPr>
        <w:spacing w:after="160" w:before="0"/>
      </w:pPr>
      <w:r>
        <w:rPr>
          <w:rFonts w:ascii="Calibri" w:hAnsi="Calibri"/>
          <w:color w:val="1A1A1A"/>
          <w:sz w:val="22"/>
        </w:rPr>
        <w:t>When the average time-in-approval exceeds 24–48 hours for routine requests, either the approval chain is too long, approvers are not receiving effective notifications, or approvers are approving in batches rather than on receipt. All three are solvable through configuration — but the first step is identifying which is the cause.</w:t>
      </w:r>
    </w:p>
    <w:p>
      <w:pPr>
        <w:pStyle w:val="Heading2"/>
      </w:pPr>
      <w:r>
        <w:t>Approvers are not sure what they are approving</w:t>
      </w:r>
    </w:p>
    <w:p>
      <w:pPr>
        <w:spacing w:after="160" w:before="0"/>
      </w:pPr>
      <w:r>
        <w:rPr>
          <w:rFonts w:ascii="Calibri" w:hAnsi="Calibri"/>
          <w:color w:val="1A1A1A"/>
          <w:sz w:val="22"/>
        </w:rPr>
        <w:t>When an approver receives an approval notification but cannot tell from the notification what they are being asked to review, they either approve reflexively (defeating the purpose) or open the full record to investigate (adding friction for every approval). Approval notifications should include enough context for an informed decision without requiring a click-through.</w:t>
      </w:r>
    </w:p>
    <w:p>
      <w:pPr>
        <w:pStyle w:val="Heading2"/>
      </w:pPr>
      <w:r>
        <w:t>Multiple approvals are required for the same request across different systems</w:t>
      </w:r>
    </w:p>
    <w:p>
      <w:pPr>
        <w:spacing w:after="160" w:before="0"/>
      </w:pPr>
      <w:r>
        <w:rPr>
          <w:rFonts w:ascii="Calibri" w:hAnsi="Calibri"/>
          <w:color w:val="1A1A1A"/>
          <w:sz w:val="22"/>
        </w:rPr>
        <w:t>In organizations that have not rationalized their approval architecture, a single user request may require approval in ServiceNow, in an Active Directory management tool, and via an email to a team lead — three separate approvals for what is effectively the same business decision. Centralizing approval in ServiceNow eliminates this duplication and produces a single audit record.</w:t>
      </w:r>
    </w:p>
    <w:p>
      <w:pPr>
        <w:pStyle w:val="Heading2"/>
      </w:pPr>
      <w:r>
        <w:t>Approval chains grow with every new catalog item</w:t>
      </w:r>
    </w:p>
    <w:p>
      <w:pPr>
        <w:spacing w:after="160" w:before="0"/>
      </w:pPr>
      <w:r>
        <w:rPr>
          <w:rFonts w:ascii="Calibri" w:hAnsi="Calibri"/>
          <w:color w:val="1A1A1A"/>
          <w:sz w:val="22"/>
        </w:rPr>
        <w:t>When each new catalog item is built with a bespoke approval chain rather than shared approval templates, the approval configuration grows in complexity with every new item. Within 12–18 months, the total approval configuration becomes difficult to audit and maintain.</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Which requests and changes genuinely require human approval?</w:t>
      </w:r>
    </w:p>
    <w:p>
      <w:pPr>
        <w:spacing w:after="160" w:before="0"/>
      </w:pPr>
      <w:r>
        <w:rPr>
          <w:rFonts w:ascii="Calibri" w:hAnsi="Calibri"/>
          <w:color w:val="1A1A1A"/>
          <w:sz w:val="22"/>
        </w:rPr>
        <w:t>Start with a clean-sheet question: if you were designing this approval architecture today, with full knowledge of your audit requirements and business risk, which transactions would require a human being to explicitly authorize before proceeding? The answer should be grounded in policy, audit requirement, or specific risk — not in historical practice.</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Are there audit or compliance requirements (FedRAMP, FISMA, SOC 2) that mandate specific approval steps?</w:t>
      </w:r>
    </w:p>
    <w:p>
      <w:pPr>
        <w:pStyle w:val="ListBullet"/>
        <w:spacing w:after="40"/>
        <w:ind w:left="360"/>
      </w:pPr>
      <w:r>
        <w:rPr>
          <w:rFonts w:ascii="Calibri" w:hAnsi="Calibri"/>
          <w:sz w:val="22"/>
        </w:rPr>
        <w:t>Which categories of request carry real financial, security, or compliance risk if approved incorrectly?</w:t>
      </w:r>
    </w:p>
    <w:p>
      <w:pPr>
        <w:pStyle w:val="ListBullet"/>
        <w:spacing w:after="40"/>
        <w:ind w:left="360"/>
      </w:pPr>
      <w:r>
        <w:rPr>
          <w:rFonts w:ascii="Calibri" w:hAnsi="Calibri"/>
          <w:sz w:val="22"/>
        </w:rPr>
        <w:t>Which approvals exist by habit rather than by policy — and what would happen if they were removed?</w:t>
      </w:r>
    </w:p>
    <w:p>
      <w:pPr>
        <w:spacing w:after="160" w:before="80"/>
      </w:pPr>
      <w:r>
        <w:rPr>
          <w:rFonts w:ascii="Calibri" w:hAnsi="Calibri"/>
          <w:i/>
          <w:color w:val="1A1A1A"/>
          <w:sz w:val="22"/>
        </w:rPr>
        <w:t>High-risk access grants, budget-impacting purchases above a threshold, non-standard changes, and externally-mandated approvals. Routine access, standard software, hardware replacements within budget — these are pre-approval candidates.</w:t>
      </w:r>
    </w:p>
    <w:p>
      <w:pPr>
        <w:pStyle w:val="Heading2"/>
      </w:pPr>
      <w:r>
        <w:t>Decision 2 — What approval model — sequential, parallel, or group?</w:t>
      </w:r>
    </w:p>
    <w:p>
      <w:pPr>
        <w:spacing w:after="160" w:before="0"/>
      </w:pPr>
      <w:r>
        <w:rPr>
          <w:rFonts w:ascii="Calibri" w:hAnsi="Calibri"/>
          <w:color w:val="1A1A1A"/>
          <w:sz w:val="22"/>
        </w:rPr>
        <w:t>Sequential approval requires each approver to act in order. Parallel approval sends to all approvers simultaneously and moves forward when all approve. Group approval sends to a group and moves forward when any one member approves. For most catalog items, group approval (any member of the relevant team) is the fastest and most resilient model — it avoids single-approver bottlenecks without sacrificing oversight.</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Are there approvals that legally or contractually require a specific named individual?</w:t>
      </w:r>
    </w:p>
    <w:p>
      <w:pPr>
        <w:pStyle w:val="ListBullet"/>
        <w:spacing w:after="40"/>
        <w:ind w:left="360"/>
      </w:pPr>
      <w:r>
        <w:rPr>
          <w:rFonts w:ascii="Calibri" w:hAnsi="Calibri"/>
          <w:sz w:val="22"/>
        </w:rPr>
        <w:t>Are there cases where approval requires inputs from multiple parties simultaneously?</w:t>
      </w:r>
    </w:p>
    <w:p>
      <w:pPr>
        <w:pStyle w:val="ListBullet"/>
        <w:spacing w:after="40"/>
        <w:ind w:left="360"/>
      </w:pPr>
      <w:r>
        <w:rPr>
          <w:rFonts w:ascii="Calibri" w:hAnsi="Calibri"/>
          <w:sz w:val="22"/>
        </w:rPr>
        <w:t>What happens to approvals when the designated approver is on leave?</w:t>
      </w:r>
    </w:p>
    <w:p>
      <w:pPr>
        <w:pStyle w:val="Heading2"/>
      </w:pPr>
      <w:r>
        <w:t>Decision 3 — What thresholds trigger a higher approval tier?</w:t>
      </w:r>
    </w:p>
    <w:p>
      <w:pPr>
        <w:spacing w:after="160" w:before="0"/>
      </w:pPr>
      <w:r>
        <w:rPr>
          <w:rFonts w:ascii="Calibri" w:hAnsi="Calibri"/>
          <w:color w:val="1A1A1A"/>
          <w:sz w:val="22"/>
        </w:rPr>
        <w:t>Many organizations tier their approvals by value or risk: requests under $500 are approved by a team lead, requests over $500 require a director, requests over $5,000 require an executive. Encoding these thresholds in ServiceNow produces consistent approval routing without requiring the requester or the service desk to make a judgment call.</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Do you have existing financial authorization thresholds documented?</w:t>
      </w:r>
    </w:p>
    <w:p>
      <w:pPr>
        <w:pStyle w:val="ListBullet"/>
        <w:spacing w:after="40"/>
        <w:ind w:left="360"/>
      </w:pPr>
      <w:r>
        <w:rPr>
          <w:rFonts w:ascii="Calibri" w:hAnsi="Calibri"/>
          <w:sz w:val="22"/>
        </w:rPr>
        <w:t>Are there risk-based thresholds (e.g., access to sensitive data systems) that should trigger elevated approval?</w:t>
      </w:r>
    </w:p>
    <w:p>
      <w:pPr>
        <w:pStyle w:val="Heading2"/>
      </w:pPr>
      <w:r>
        <w:t>Decision 4 — What qualifies as Standard Change (pre-approved)?</w:t>
      </w:r>
    </w:p>
    <w:p>
      <w:pPr>
        <w:spacing w:after="160" w:before="0"/>
      </w:pPr>
      <w:r>
        <w:rPr>
          <w:rFonts w:ascii="Calibri" w:hAnsi="Calibri"/>
          <w:color w:val="1A1A1A"/>
          <w:sz w:val="22"/>
        </w:rPr>
        <w:t>Standard Changes are changes that have been pre-approved as low-risk and routine: patching a standard server within the maintenance window, deploying a pre-tested configuration change, resetting a service account password. Building a Standard Change library of 15–25 common change types dramatically reduces CAB volume and accelerates routine change delivery.</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What are the most common changes your team performs that follow a known, tested process?</w:t>
      </w:r>
    </w:p>
    <w:p>
      <w:pPr>
        <w:pStyle w:val="ListBullet"/>
        <w:spacing w:after="40"/>
        <w:ind w:left="360"/>
      </w:pPr>
      <w:r>
        <w:rPr>
          <w:rFonts w:ascii="Calibri" w:hAnsi="Calibri"/>
          <w:sz w:val="22"/>
        </w:rPr>
        <w:t>Which changes have a documented rollback procedure and a history of no failures?</w:t>
      </w:r>
    </w:p>
    <w:p>
      <w:pPr>
        <w:pStyle w:val="ListBullet"/>
        <w:spacing w:after="40"/>
        <w:ind w:left="360"/>
      </w:pPr>
      <w:r>
        <w:rPr>
          <w:rFonts w:ascii="Calibri" w:hAnsi="Calibri"/>
          <w:sz w:val="22"/>
        </w:rPr>
        <w:t>Is there a CAB member or change manager who can sponsor the initial Standard Change library?</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Approval required only where there is a documented policy or risk rationale</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Approvals added to new items by default without review of whether they are needed</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Group approval model with backup approvers defined</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Single named approver with no backup — approvals stall when that person is unavailable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Standard Change library covers the top 15–25 routine change types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changes go through CAB regardless of risk level or routine nature</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Approval notifications include enough context for an informed decision</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Approvers must open the full record to understand what they are approving</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Time-in-approval monitored and reported; SLA on approval response</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Approval queue monitored only when a user complains about delay</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Approval configuration uses shared templates rather than per-item logic</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Each catalog item has bespoke approval logic that duplicates configuration</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Pattern A — Agency removing 40% of approval steps</w:t>
      </w:r>
    </w:p>
    <w:p>
      <w:pPr>
        <w:spacing w:after="160" w:before="0"/>
      </w:pPr>
      <w:r>
        <w:rPr>
          <w:rFonts w:ascii="Calibri" w:hAnsi="Calibri"/>
          <w:color w:val="1A1A1A"/>
          <w:sz w:val="22"/>
        </w:rPr>
        <w:t>A government agency audited its approval configuration and found that 40% of approval steps had no documented policy basis — they had been added when individual managers wanted visibility into specific request types and never removed. Removing those steps reduced average catalog request fulfillment time from 4.2 days to 1.8 days. No audit finding resulted from the change because none of the removed approvals were policy-mandated.</w:t>
      </w:r>
    </w:p>
    <w:p>
      <w:pPr>
        <w:pStyle w:val="Heading2"/>
      </w:pPr>
      <w:r>
        <w:t>Pattern B — Building a 22-item Standard Change library</w:t>
      </w:r>
    </w:p>
    <w:p>
      <w:pPr>
        <w:spacing w:after="160" w:before="0"/>
      </w:pPr>
      <w:r>
        <w:rPr>
          <w:rFonts w:ascii="Calibri" w:hAnsi="Calibri"/>
          <w:color w:val="1A1A1A"/>
          <w:sz w:val="22"/>
        </w:rPr>
        <w:t>A technology company entered implementation with no Standard Change definition and a CAB that met twice weekly to review an average of 60 changes per session. Working through their change history, they identified 22 change types that qualified as Standard — representing 55% of their change volume. After implementation, CAB volume dropped to an average of 27 changes per session, and meeting duration was cut in half.</w:t>
      </w:r>
    </w:p>
    <w:p>
      <w:pPr>
        <w:pStyle w:val="Heading2"/>
      </w:pPr>
      <w:r>
        <w:t>Pattern C — Threshold-based approval for procurement</w:t>
      </w:r>
    </w:p>
    <w:p>
      <w:pPr>
        <w:spacing w:after="160" w:before="0"/>
      </w:pPr>
      <w:r>
        <w:rPr>
          <w:rFonts w:ascii="Calibri" w:hAnsi="Calibri"/>
          <w:color w:val="1A1A1A"/>
          <w:sz w:val="22"/>
        </w:rPr>
        <w:t>A healthcare organization implemented tiered approval for hardware procurement: under $1,000 approved by IT team lead (automated notification, 24-hour response SLA), $1,000–$10,000 requires IT director approval, over $10,000 requires CFO approval. Previously all procurement approvals went to the IT director regardless of amount. IT director approval volume dropped 70%, and approval cycle time for sub-$1,000 requests dropped from 3.2 days to 6 hours.</w:t>
      </w:r>
    </w:p>
    <w:p>
      <w:r>
        <w:br w:type="page"/>
      </w:r>
    </w:p>
    <w:p>
      <w:pPr>
        <w:pStyle w:val="Heading1"/>
      </w:pPr>
      <w:r>
        <w:t>6.  How We Will Workshop This Together</w:t>
      </w:r>
    </w:p>
    <w:p>
      <w:pPr>
        <w:spacing w:after="160" w:before="0"/>
      </w:pPr>
      <w:r>
        <w:rPr>
          <w:rFonts w:ascii="Calibri" w:hAnsi="Calibri"/>
          <w:color w:val="1A1A1A"/>
          <w:sz w:val="22"/>
        </w:rPr>
        <w:t>The workshop will review your current catalog items and change types with approval logic attached. For each, we will ask: is this approval policy-required, risk-based, or habitual? We will draft a simplified approval matrix, define Standard Change candidates, and configure shared approval templates that can be reused across catalog items rather than rebuilt for each one.</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Current catalog item list with approval chains documented (or a sample of the most common items)</w:t>
      </w:r>
    </w:p>
    <w:p>
      <w:pPr>
        <w:pStyle w:val="ListBullet"/>
        <w:spacing w:after="40"/>
        <w:ind w:left="360"/>
      </w:pPr>
      <w:r>
        <w:rPr>
          <w:rFonts w:ascii="Calibri" w:hAnsi="Calibri"/>
          <w:sz w:val="22"/>
        </w:rPr>
        <w:t>Change management policy and current CAB membership</w:t>
      </w:r>
    </w:p>
    <w:p>
      <w:pPr>
        <w:pStyle w:val="ListBullet"/>
        <w:spacing w:after="40"/>
        <w:ind w:left="360"/>
      </w:pPr>
      <w:r>
        <w:rPr>
          <w:rFonts w:ascii="Calibri" w:hAnsi="Calibri"/>
          <w:sz w:val="22"/>
        </w:rPr>
        <w:t>Any financial authorization thresholds in policy documents</w:t>
      </w:r>
    </w:p>
    <w:p>
      <w:pPr>
        <w:pStyle w:val="ListBullet"/>
        <w:spacing w:after="40"/>
        <w:ind w:left="360"/>
      </w:pPr>
      <w:r>
        <w:rPr>
          <w:rFonts w:ascii="Calibri" w:hAnsi="Calibri"/>
          <w:sz w:val="22"/>
        </w:rPr>
        <w:t>Compliance or audit requirements that mandate specific approval steps</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Are there compliance or audit requirements that mandate specific approval chains?</w:t>
      </w:r>
    </w:p>
    <w:p>
      <w:pPr>
        <w:pStyle w:val="ListBullet"/>
        <w:spacing w:after="40"/>
        <w:ind w:left="360"/>
      </w:pPr>
      <w:r>
        <w:rPr>
          <w:rFonts w:ascii="Calibri" w:hAnsi="Calibri"/>
          <w:sz w:val="22"/>
        </w:rPr>
        <w:t>What is the current average time-in-approval for your most common request types?</w:t>
      </w:r>
    </w:p>
    <w:p>
      <w:pPr>
        <w:pStyle w:val="ListBullet"/>
        <w:spacing w:after="40"/>
        <w:ind w:left="360"/>
      </w:pPr>
      <w:r>
        <w:rPr>
          <w:rFonts w:ascii="Calibri" w:hAnsi="Calibri"/>
          <w:sz w:val="22"/>
        </w:rPr>
        <w:t>Have you identified which change types in your environment are routine and low-risk?</w:t>
      </w:r>
    </w:p>
    <w:p>
      <w:pPr>
        <w:pStyle w:val="ListBullet"/>
        <w:spacing w:after="40"/>
        <w:ind w:left="360"/>
      </w:pPr>
      <w:r>
        <w:rPr>
          <w:rFonts w:ascii="Calibri" w:hAnsi="Calibri"/>
          <w:sz w:val="22"/>
        </w:rPr>
        <w:t>Who is authorized to waive or reduce an approval step — and under what conditions?</w:t>
      </w:r>
    </w:p>
    <w:p>
      <w:pPr>
        <w:pStyle w:val="ListBullet"/>
        <w:spacing w:after="40"/>
        <w:ind w:left="360"/>
      </w:pPr>
      <w:r>
        <w:rPr>
          <w:rFonts w:ascii="Calibri" w:hAnsi="Calibri"/>
          <w:sz w:val="22"/>
        </w:rPr>
        <w:t>Do you currently have a Standard Change catalog or pre-approved change list?</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Catalog &amp; Request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Approval design is part of the Catalog &amp; Request sprint</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Change Management Workshop Pre-Read</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Standard Change library design is covered in the Change workshop</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Custom-vs-OOTB Decision Framework</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Approval logic is a common customization target — understand when OOTB is sufficient</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02_Client/04_Decision_Topic_Guides/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Approval Discipline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