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ASSIGNMENT RULES</w:t>
      </w:r>
    </w:p>
    <w:p>
      <w:pPr>
        <w:spacing w:before="0" w:after="40"/>
      </w:pPr>
      <w:r>
        <w:rPr>
          <w:rFonts w:ascii="Calibri" w:hAnsi="Calibri"/>
          <w:b/>
          <w:color w:val="0B1F3A"/>
          <w:sz w:val="56"/>
        </w:rPr>
        <w:t>Assignment Rules</w:t>
      </w:r>
    </w:p>
    <w:p>
      <w:pPr>
        <w:spacing w:before="120" w:after="400"/>
      </w:pPr>
      <w:r>
        <w:rPr>
          <w:rFonts w:ascii="Calibri" w:hAnsi="Calibri"/>
          <w:i/>
          <w:color w:val="0D9488"/>
          <w:sz w:val="24"/>
        </w:rPr>
        <w:t>A decision guide for routing tickets to the right team automatically — without building a maze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Process Managers, Service Desk Leadership, Assignment Group Owners, IT Operations</w:t>
      </w:r>
    </w:p>
    <w:p>
      <w:pPr>
        <w:spacing w:after="40"/>
      </w:pPr>
      <w:r>
        <w:rPr>
          <w:rFonts w:ascii="Calibri" w:hAnsi="Calibri"/>
          <w:b w:val="0"/>
          <w:i w:val="0"/>
          <w:color w:val="475569"/>
          <w:sz w:val="20"/>
        </w:rPr>
        <w:t>Companion to: Category Structure Simplification Decision Guide · SLA Discipline Decision Guide</w:t>
      </w:r>
    </w:p>
    <w:p>
      <w:pPr>
        <w:spacing w:after="80"/>
      </w:pPr>
      <w:r>
        <w:rPr>
          <w:rFonts w:ascii="Calibri" w:hAnsi="Calibri"/>
          <w:b w:val="0"/>
          <w:i w:val="0"/>
          <w:color w:val="475569"/>
          <w:sz w:val="20"/>
        </w:rPr>
        <w:t>Document ID: CLT-DT-04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Assignment rules are the logic that tells ServiceNow which team gets a ticket when it arrives. Done well, they are invisible — tickets land in the right queue and work begins immediately. Done poorly, they become the source of the most common service desk complaint: the wrong team got this, and now someone has to reassign it.</w:t>
      </w:r>
    </w:p>
    <w:p>
      <w:pPr>
        <w:spacing w:after="160" w:before="0"/>
      </w:pPr>
      <w:r>
        <w:rPr>
          <w:rFonts w:ascii="Calibri" w:hAnsi="Calibri"/>
          <w:color w:val="1A1A1A"/>
          <w:sz w:val="22"/>
        </w:rPr>
        <w:t>Most organizations arrive at implementation with assignment logic that has been tuned over years: a rule for this application, a rule for this customer, a rule for this location. Each rule made sense when it was added. Together, they often form a web of overlapping conditions that no one person fully understands — and that ServiceNow's rule engine applies in unpredictable order.</w:t>
      </w:r>
    </w:p>
    <w:p>
      <w:pPr>
        <w:spacing w:after="160" w:before="0"/>
      </w:pPr>
      <w:r>
        <w:rPr>
          <w:rFonts w:ascii="Calibri" w:hAnsi="Calibri"/>
          <w:color w:val="1A1A1A"/>
          <w:sz w:val="22"/>
        </w:rPr>
        <w:t>The four decisions in this guide address how to design assignment rules that are simple enough to maintain, accurate enough to be trusted, and structured to improve as Predictive Intelligence takes over more of the routing work over time.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Assignment Rules Matters Now</w:t>
      </w:r>
    </w:p>
    <w:p>
      <w:pPr>
        <w:pStyle w:val="Heading2"/>
      </w:pPr>
      <w:r>
        <w:t>Routing accuracy directly determines mean time to resolution</w:t>
      </w:r>
    </w:p>
    <w:p>
      <w:pPr>
        <w:spacing w:after="160" w:before="0"/>
      </w:pPr>
      <w:r>
        <w:rPr>
          <w:rFonts w:ascii="Calibri" w:hAnsi="Calibri"/>
          <w:color w:val="1A1A1A"/>
          <w:sz w:val="22"/>
        </w:rPr>
        <w:t>Every reassignment adds latency. A ticket that is correctly routed on first submission reaches resolution faster than one that bounces through two queues first. In high-volume environments, even a 10% reduction in reassignment rates produces measurable MTTR improvement — without changing staffing or processes. Assignment rule quality is a direct lever on your service delivery speed.</w:t>
      </w:r>
    </w:p>
    <w:p>
      <w:pPr>
        <w:pStyle w:val="Heading2"/>
      </w:pPr>
      <w:r>
        <w:t>Rule complexity compounds maintenance cost</w:t>
      </w:r>
    </w:p>
    <w:p>
      <w:pPr>
        <w:spacing w:after="160" w:before="0"/>
      </w:pPr>
      <w:r>
        <w:rPr>
          <w:rFonts w:ascii="Calibri" w:hAnsi="Calibri"/>
          <w:color w:val="1A1A1A"/>
          <w:sz w:val="22"/>
        </w:rPr>
        <w:t>Every assignment rule is a configuration artifact that needs to be maintained as your organization changes. When a team is renamed, split, or absorbed, every rule that references that team requires an update. Organizations with 200+ assignment rules find that operational changes consume disproportionate administrative effort — not because the changes are complex, but because they touch so many rules.</w:t>
      </w:r>
    </w:p>
    <w:p>
      <w:pPr>
        <w:pStyle w:val="Heading2"/>
      </w:pPr>
      <w:r>
        <w:t>Predictive Intelligence makes simple rules more valuable, not redundant</w:t>
      </w:r>
    </w:p>
    <w:p>
      <w:pPr>
        <w:spacing w:after="160" w:before="0"/>
      </w:pPr>
      <w:r>
        <w:rPr>
          <w:rFonts w:ascii="Calibri" w:hAnsi="Calibri"/>
          <w:color w:val="1A1A1A"/>
          <w:sz w:val="22"/>
        </w:rPr>
        <w:t>When Predictive Intelligence is active, it provides assignment group suggestions based on ML patterns in historical data. Simple, consistent assignment rules produce cleaner historical data — which produces better ML predictions. The relationship is compounding: good rules today produce better AI tomorrow. Complex, inconsistent rules produce noisy historical data that limits how accurate Predictive Intelligence can become.</w:t>
      </w:r>
    </w:p>
    <w:p>
      <w:r>
        <w:br w:type="page"/>
      </w:r>
    </w:p>
    <w:p>
      <w:pPr>
        <w:pStyle w:val="Heading1"/>
      </w:pPr>
      <w:r>
        <w:t>2.  The Signals That your assignment rule configuration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Reassignment rate is above 15–20%</w:t>
      </w:r>
    </w:p>
    <w:p>
      <w:pPr>
        <w:spacing w:after="160" w:before="0"/>
      </w:pPr>
      <w:r>
        <w:rPr>
          <w:rFonts w:ascii="Calibri" w:hAnsi="Calibri"/>
          <w:color w:val="1A1A1A"/>
          <w:sz w:val="22"/>
        </w:rPr>
        <w:t>A reassignment rate above 15–20% is a reliable signal that initial assignment accuracy is low — either because the rules do not match the actual team structure, or because agents are manually reassigning tickets that arrived in the right queue but were then re-categorized. Either way, the rules need review.</w:t>
      </w:r>
    </w:p>
    <w:p>
      <w:pPr>
        <w:pStyle w:val="Heading2"/>
      </w:pPr>
      <w:r>
        <w:t>Nobody can explain what triggers a specific rule</w:t>
      </w:r>
    </w:p>
    <w:p>
      <w:pPr>
        <w:spacing w:after="160" w:before="0"/>
      </w:pPr>
      <w:r>
        <w:rPr>
          <w:rFonts w:ascii="Calibri" w:hAnsi="Calibri"/>
          <w:color w:val="1A1A1A"/>
          <w:sz w:val="22"/>
        </w:rPr>
        <w:t>If the team cannot answer 'why did this ticket go to that group?' without checking the rule configuration, the rules have become opaque. Opaque rules are not just a maintenance problem — they are a trust problem. When agents do not understand routing logic, they route manually rather than relying on the system.</w:t>
      </w:r>
    </w:p>
    <w:p>
      <w:pPr>
        <w:pStyle w:val="Heading2"/>
      </w:pPr>
      <w:r>
        <w:t>Rules fire in unexpected order</w:t>
      </w:r>
    </w:p>
    <w:p>
      <w:pPr>
        <w:spacing w:after="160" w:before="0"/>
      </w:pPr>
      <w:r>
        <w:rPr>
          <w:rFonts w:ascii="Calibri" w:hAnsi="Calibri"/>
          <w:color w:val="1A1A1A"/>
          <w:sz w:val="22"/>
        </w:rPr>
        <w:t>ServiceNow processes assignment rules in order of their configured sequence. When many rules overlap in their conditions, the effective order is difficult to predict without testing. Organizations that have added rules incrementally without reviewing the overall sequence often find that early rules in the order prevent later, more specific rules from firing.</w:t>
      </w:r>
    </w:p>
    <w:p>
      <w:pPr>
        <w:pStyle w:val="Heading2"/>
      </w:pPr>
      <w:r>
        <w:t>Assignment group names do not match organizational team names</w:t>
      </w:r>
    </w:p>
    <w:p>
      <w:pPr>
        <w:spacing w:after="160" w:before="0"/>
      </w:pPr>
      <w:r>
        <w:rPr>
          <w:rFonts w:ascii="Calibri" w:hAnsi="Calibri"/>
          <w:color w:val="1A1A1A"/>
          <w:sz w:val="22"/>
        </w:rPr>
        <w:t>When the assignment groups in ServiceNow no longer match the names your teams use for themselves — because of reorganizations, renaming, or mergers — the routing configuration falls out of sync with operational reality. This is one of the most common post-implementation drift patterns.</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What criteria should drive assignment — category alone, or category plus CI?</w:t>
      </w:r>
    </w:p>
    <w:p>
      <w:pPr>
        <w:spacing w:after="160" w:before="0"/>
      </w:pPr>
      <w:r>
        <w:rPr>
          <w:rFonts w:ascii="Calibri" w:hAnsi="Calibri"/>
          <w:color w:val="1A1A1A"/>
          <w:sz w:val="22"/>
        </w:rPr>
        <w:t>The simplest assignment rule model routes based on category and subcategory alone: 'Network / VPN Connectivity' goes to the Network team. The more powerful model adds the Configuration Item (CI) as a routing signal: 'the application affected is the Payroll system, which is owned by the ERP team.' CMDB-based routing produces higher accuracy but requires CMDB data to be reliable.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Is your CMDB current enough to trust as a routing signal?</w:t>
      </w:r>
    </w:p>
    <w:p>
      <w:pPr>
        <w:pStyle w:val="ListBullet"/>
        <w:spacing w:after="40"/>
        <w:ind w:left="360"/>
      </w:pPr>
      <w:r>
        <w:rPr>
          <w:rFonts w:ascii="Calibri" w:hAnsi="Calibri"/>
          <w:sz w:val="22"/>
        </w:rPr>
        <w:t>Are there ticket types where the right team depends on which system is affected, not just the category?</w:t>
      </w:r>
    </w:p>
    <w:p>
      <w:pPr>
        <w:pStyle w:val="ListBullet"/>
        <w:spacing w:after="40"/>
        <w:ind w:left="360"/>
      </w:pPr>
      <w:r>
        <w:rPr>
          <w:rFonts w:ascii="Calibri" w:hAnsi="Calibri"/>
          <w:sz w:val="22"/>
        </w:rPr>
        <w:t>Are there routing cases today where category alone is ambiguous?</w:t>
      </w:r>
    </w:p>
    <w:p>
      <w:pPr>
        <w:spacing w:after="160" w:before="80"/>
      </w:pPr>
      <w:r>
        <w:rPr>
          <w:rFonts w:ascii="Calibri" w:hAnsi="Calibri"/>
          <w:i/>
          <w:color w:val="1A1A1A"/>
          <w:sz w:val="22"/>
        </w:rPr>
        <w:t>Most organizations start with category-based routing and add CI-based rules incrementally as CMDB data matures. Starting with CI-based routing before the CMDB is reliable produces routing errors that undermine trust in the system.</w:t>
      </w:r>
    </w:p>
    <w:p>
      <w:pPr>
        <w:pStyle w:val="Heading2"/>
      </w:pPr>
      <w:r>
        <w:t>Decision 2 — How many rules do you need, and in what order?</w:t>
      </w:r>
    </w:p>
    <w:p>
      <w:pPr>
        <w:spacing w:after="160" w:before="0"/>
      </w:pPr>
      <w:r>
        <w:rPr>
          <w:rFonts w:ascii="Calibri" w:hAnsi="Calibri"/>
          <w:color w:val="1A1A1A"/>
          <w:sz w:val="22"/>
        </w:rPr>
        <w:t>The target is the minimum rule set that correctly routes all in-scope ticket types. A working starting point: one rule per category-subcategory combination that maps to a distinct owning team. This produces a rule count roughly equal to your number of categories — typically 20–50 rules rather than hundreds.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How many assignment groups do you have?</w:t>
      </w:r>
    </w:p>
    <w:p>
      <w:pPr>
        <w:pStyle w:val="ListBullet"/>
        <w:spacing w:after="40"/>
        <w:ind w:left="360"/>
      </w:pPr>
      <w:r>
        <w:rPr>
          <w:rFonts w:ascii="Calibri" w:hAnsi="Calibri"/>
          <w:sz w:val="22"/>
        </w:rPr>
        <w:t>For each category, is there one clear owning team, or do multiple teams share a category?</w:t>
      </w:r>
    </w:p>
    <w:p>
      <w:pPr>
        <w:pStyle w:val="ListBullet"/>
        <w:spacing w:after="40"/>
        <w:ind w:left="360"/>
      </w:pPr>
      <w:r>
        <w:rPr>
          <w:rFonts w:ascii="Calibri" w:hAnsi="Calibri"/>
          <w:sz w:val="22"/>
        </w:rPr>
        <w:t>Are there conditions beyond category (caller location, VIP status) that legitimately change routing?</w:t>
      </w:r>
    </w:p>
    <w:p>
      <w:pPr>
        <w:pStyle w:val="Heading2"/>
      </w:pPr>
      <w:r>
        <w:t>Decision 3 — What is the fallback when no rule matches?</w:t>
      </w:r>
    </w:p>
    <w:p>
      <w:pPr>
        <w:spacing w:after="160" w:before="0"/>
      </w:pPr>
      <w:r>
        <w:rPr>
          <w:rFonts w:ascii="Calibri" w:hAnsi="Calibri"/>
          <w:color w:val="1A1A1A"/>
          <w:sz w:val="22"/>
        </w:rPr>
        <w:t>Every assignment rule design needs a defined fallback: the group that receives tickets when no specific rule applies. This is typically the service desk or a triage group. The fallback volume is a useful metric — high fallback volume means the rule set has coverage gaps that need addressing.</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team should receive tickets that no rule matches?</w:t>
      </w:r>
    </w:p>
    <w:p>
      <w:pPr>
        <w:pStyle w:val="ListBullet"/>
        <w:spacing w:after="40"/>
        <w:ind w:left="360"/>
      </w:pPr>
      <w:r>
        <w:rPr>
          <w:rFonts w:ascii="Calibri" w:hAnsi="Calibri"/>
          <w:sz w:val="22"/>
        </w:rPr>
        <w:t>Is there a monitoring process for fallback queue volume?</w:t>
      </w:r>
    </w:p>
    <w:p>
      <w:pPr>
        <w:pStyle w:val="Heading2"/>
      </w:pPr>
      <w:r>
        <w:t>Decision 4 — Who owns the rules post-go-live, and what is the change process?</w:t>
      </w:r>
    </w:p>
    <w:p>
      <w:pPr>
        <w:spacing w:after="160" w:before="0"/>
      </w:pPr>
      <w:r>
        <w:rPr>
          <w:rFonts w:ascii="Calibri" w:hAnsi="Calibri"/>
          <w:color w:val="1A1A1A"/>
          <w:sz w:val="22"/>
        </w:rPr>
        <w:t>Assignment rules require ongoing maintenance as teams change, categories are added, and new services are onboarded. Without clear ownership, rules accumulate without review and the rule set gradually decouples from operational reality. The workshop will define an owner and a lightweight change process.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has authority to add, modify, or retire assignment rules today?</w:t>
      </w:r>
    </w:p>
    <w:p>
      <w:pPr>
        <w:pStyle w:val="ListBullet"/>
        <w:spacing w:after="40"/>
        <w:ind w:left="360"/>
      </w:pPr>
      <w:r>
        <w:rPr>
          <w:rFonts w:ascii="Calibri" w:hAnsi="Calibri"/>
          <w:sz w:val="22"/>
        </w:rPr>
        <w:t>Is there a documented process for requesting a routing change?</w:t>
      </w:r>
    </w:p>
    <w:p>
      <w:pPr>
        <w:pStyle w:val="ListBullet"/>
        <w:spacing w:after="40"/>
        <w:ind w:left="360"/>
      </w:pPr>
      <w:r>
        <w:rPr>
          <w:rFonts w:ascii="Calibri" w:hAnsi="Calibri"/>
          <w:sz w:val="22"/>
        </w:rPr>
        <w:t>How will new services be onboarded — is there a step in the service design process for assignment rule creation?</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rule per category/subcategory with a clear owning team</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Hundreds of rules with overlapping conditions and unpredictable firing order</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Reassignment rate below 10%</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Reassignment rate above 20% indicating systematic routing errors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All team members can explain why a ticket was routed the way it was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Routing logic is opaque — agents route manually because they do not trust rules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Fallback queue is monitored and coverage gaps are closed promptly</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Fallback queue is a dumping ground that nobody monitors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group names match current organizational team names</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Group names reflect a previous org structure that no longer exists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Rules owned by a named administrator with a defined change process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Rules modified ad hoc by anyone with admin access</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Agency reducing 340 rules to 38</w:t>
      </w:r>
    </w:p>
    <w:p>
      <w:pPr>
        <w:spacing w:after="160" w:before="0"/>
      </w:pPr>
      <w:r>
        <w:rPr>
          <w:rFonts w:ascii="Calibri" w:hAnsi="Calibri"/>
          <w:color w:val="1A1A1A"/>
          <w:sz w:val="22"/>
        </w:rPr>
        <w:t>A federal agency entered implementation with 340 assignment rules accumulated across eight years. Analysis found that 210 rules were for organizational units that no longer existed, 60 were redundant with other rules, and 30 were never firing due to rule order issues. Working through the four decisions, they rebuilt the rule set from scratch with 38 category-based rules. Reassignment rate dropped from 28% to 9% in the first month.</w:t>
      </w:r>
    </w:p>
    <w:p>
      <w:pPr>
        <w:pStyle w:val="Heading2"/>
      </w:pPr>
      <w:r>
        <w:t>Pattern B — Phased CI-based routing</w:t>
      </w:r>
    </w:p>
    <w:p>
      <w:pPr>
        <w:spacing w:after="160" w:before="0"/>
      </w:pPr>
      <w:r>
        <w:rPr>
          <w:rFonts w:ascii="Calibri" w:hAnsi="Calibri"/>
          <w:color w:val="1A1A1A"/>
          <w:sz w:val="22"/>
        </w:rPr>
        <w:t>A technology company wanted CI-based routing from day one, routing tickets to application owners based on the affected CI rather than category. The CMDB was not yet fully populated, so they implemented category-based rules as an interim measure and flagged each rule for review once the relevant CI class was populated. Six months post-go-live, 30% of rules had been upgraded to CI-based routing as CMDB data matured.</w:t>
      </w:r>
    </w:p>
    <w:p>
      <w:pPr>
        <w:pStyle w:val="Heading2"/>
      </w:pPr>
      <w:r>
        <w:t>Pattern C — Shared categories with conditional routing</w:t>
      </w:r>
    </w:p>
    <w:p>
      <w:pPr>
        <w:spacing w:after="160" w:before="0"/>
      </w:pPr>
      <w:r>
        <w:rPr>
          <w:rFonts w:ascii="Calibri" w:hAnsi="Calibri"/>
          <w:color w:val="1A1A1A"/>
          <w:sz w:val="22"/>
        </w:rPr>
        <w:t>A higher education IT organization had categories shared across multiple teams — 'Network' was handled by two different teams depending on whether the campus was residential or academic. They solved this with a caller-location field on the incident form and a two-condition rule: category + location. The rule set remained simple, and routing accuracy for the shared categories improved from 68% to 94%.</w:t>
      </w:r>
    </w:p>
    <w:p>
      <w:r>
        <w:br w:type="page"/>
      </w:r>
    </w:p>
    <w:p>
      <w:pPr>
        <w:pStyle w:val="Heading1"/>
      </w:pPr>
      <w:r>
        <w:t>6.  How We Will Workshop This Together</w:t>
      </w:r>
    </w:p>
    <w:p>
      <w:pPr>
        <w:spacing w:after="160" w:before="0"/>
      </w:pPr>
      <w:r>
        <w:rPr>
          <w:rFonts w:ascii="Calibri" w:hAnsi="Calibri"/>
          <w:color w:val="1A1A1A"/>
          <w:sz w:val="22"/>
        </w:rPr>
        <w:t>The workshop will start with your current assignment group list and a sample of recent reassignment data. We will map categories to owning teams, identify shared categories that need conditional logic, define the fallback, and establish the minimum rule set. The output is a documented rule set ready for configuration, and a rule ownership assignment.</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Current assignment group list — all active groups with current team leads</w:t>
      </w:r>
    </w:p>
    <w:p>
      <w:pPr>
        <w:pStyle w:val="ListBullet"/>
        <w:spacing w:after="40"/>
        <w:ind w:left="360"/>
      </w:pPr>
      <w:r>
        <w:rPr>
          <w:rFonts w:ascii="Calibri" w:hAnsi="Calibri"/>
          <w:sz w:val="22"/>
        </w:rPr>
        <w:t>Reassignment rate data for the last 6 months (from current tool if available)</w:t>
      </w:r>
    </w:p>
    <w:p>
      <w:pPr>
        <w:pStyle w:val="ListBullet"/>
        <w:spacing w:after="40"/>
        <w:ind w:left="360"/>
      </w:pPr>
      <w:r>
        <w:rPr>
          <w:rFonts w:ascii="Calibri" w:hAnsi="Calibri"/>
          <w:sz w:val="22"/>
        </w:rPr>
        <w:t>Category-to-team mapping — which categories does each team own?</w:t>
      </w:r>
    </w:p>
    <w:p>
      <w:pPr>
        <w:pStyle w:val="ListBullet"/>
        <w:spacing w:after="40"/>
        <w:ind w:left="360"/>
      </w:pPr>
      <w:r>
        <w:rPr>
          <w:rFonts w:ascii="Calibri" w:hAnsi="Calibri"/>
          <w:sz w:val="22"/>
        </w:rPr>
        <w:t>Any location, VIP, or other conditions that currently affect routing</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How many assignment groups do you currently have, and do they match your current team structure?</w:t>
      </w:r>
    </w:p>
    <w:p>
      <w:pPr>
        <w:pStyle w:val="ListBullet"/>
        <w:spacing w:after="40"/>
        <w:ind w:left="360"/>
      </w:pPr>
      <w:r>
        <w:rPr>
          <w:rFonts w:ascii="Calibri" w:hAnsi="Calibri"/>
          <w:sz w:val="22"/>
        </w:rPr>
        <w:t>What is your current reassignment rate — do you have data on this?</w:t>
      </w:r>
    </w:p>
    <w:p>
      <w:pPr>
        <w:pStyle w:val="ListBullet"/>
        <w:spacing w:after="40"/>
        <w:ind w:left="360"/>
      </w:pPr>
      <w:r>
        <w:rPr>
          <w:rFonts w:ascii="Calibri" w:hAnsi="Calibri"/>
          <w:sz w:val="22"/>
        </w:rPr>
        <w:t>Are there routing decisions that genuinely require conditions beyond category (location, customer, CI)?</w:t>
      </w:r>
    </w:p>
    <w:p>
      <w:pPr>
        <w:pStyle w:val="ListBullet"/>
        <w:spacing w:after="40"/>
        <w:ind w:left="360"/>
      </w:pPr>
      <w:r>
        <w:rPr>
          <w:rFonts w:ascii="Calibri" w:hAnsi="Calibri"/>
          <w:sz w:val="22"/>
        </w:rPr>
        <w:t>Who currently has access to modify assignment rules?</w:t>
      </w:r>
    </w:p>
    <w:p>
      <w:pPr>
        <w:pStyle w:val="ListBullet"/>
        <w:spacing w:after="40"/>
        <w:ind w:left="360"/>
      </w:pPr>
      <w:r>
        <w:rPr>
          <w:rFonts w:ascii="Calibri" w:hAnsi="Calibri"/>
          <w:sz w:val="22"/>
        </w:rPr>
        <w:t>Is there any category that is shared between two or more teams depending on context?</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Structure Simplification Decision Guide</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Assignment rules depend on category structure — design them together</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Discipline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SLA selection often depends on assignment group — the two are designed in parallel</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CMDB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CI-based routing requires reliable CMDB data — understand the maturity sequence</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Assignment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