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DECISION TOPIC GUIDE  ·  CMDB CLASS SELECTION</w:t>
      </w:r>
    </w:p>
    <w:p>
      <w:pPr>
        <w:spacing w:before="0" w:after="40"/>
      </w:pPr>
      <w:r>
        <w:rPr>
          <w:rFonts w:ascii="Calibri" w:hAnsi="Calibri"/>
          <w:b/>
          <w:color w:val="0B1F3A"/>
          <w:sz w:val="56"/>
        </w:rPr>
        <w:t>CMDB Class Selection</w:t>
      </w:r>
    </w:p>
    <w:p>
      <w:pPr>
        <w:spacing w:before="120" w:after="400"/>
      </w:pPr>
      <w:r>
        <w:rPr>
          <w:rFonts w:ascii="Calibri" w:hAnsi="Calibri"/>
          <w:i/>
          <w:color w:val="0D9488"/>
          <w:sz w:val="24"/>
        </w:rPr>
        <w:t>A decision guide for choosing which configuration items to track, at what depth, and in what sequence</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CMDB Owners, IT Operations, Infrastructure Teams, Asset Managers</w:t>
      </w:r>
    </w:p>
    <w:p>
      <w:pPr>
        <w:spacing w:after="40"/>
      </w:pPr>
      <w:r>
        <w:rPr>
          <w:rFonts w:ascii="Calibri" w:hAnsi="Calibri"/>
          <w:b w:val="0"/>
          <w:i w:val="0"/>
          <w:color w:val="475569"/>
          <w:sz w:val="20"/>
        </w:rPr>
        <w:t>Companion to: CMDB Workshop Pre-Read · Discovery Pre-Read · HAM Pre-Read</w:t>
      </w:r>
    </w:p>
    <w:p>
      <w:pPr>
        <w:spacing w:after="80"/>
      </w:pPr>
      <w:r>
        <w:rPr>
          <w:rFonts w:ascii="Calibri" w:hAnsi="Calibri"/>
          <w:b w:val="0"/>
          <w:i w:val="0"/>
          <w:color w:val="475569"/>
          <w:sz w:val="20"/>
        </w:rPr>
        <w:t>Document ID: CLT-DT-10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Guide</w:t>
      </w:r>
    </w:p>
    <w:p>
      <w:pPr>
        <w:spacing w:after="160" w:before="0"/>
      </w:pPr>
      <w:r>
        <w:rPr>
          <w:rFonts w:ascii="Calibri" w:hAnsi="Calibri"/>
          <w:color w:val="1A1A1A"/>
          <w:sz w:val="22"/>
        </w:rPr>
        <w:t>The CMDB is only as useful as the decisions made about its scope. An over-scoped CMDB — one that attempts to track every device, application, and network component from day one — produces high volume, low quality data that nobody trusts. An under-scoped CMDB leaves gaps that downstream processes (Incident routing, Change risk scoring, HAM lifecycle tracking) cannot fill. The right scope is the one where every CI class you track is actively used by at least one process.</w:t>
      </w:r>
    </w:p>
    <w:p>
      <w:pPr>
        <w:spacing w:after="160" w:before="0"/>
      </w:pPr>
      <w:r>
        <w:rPr>
          <w:rFonts w:ascii="Calibri" w:hAnsi="Calibri"/>
          <w:color w:val="1A1A1A"/>
          <w:sz w:val="22"/>
        </w:rPr>
        <w:t>This guide walks through the four decisions that define your CMDB architecture: which CI classes to populate, how much attribute depth each class needs, how CI relationships are captured, and who governs the data quality over time.</w:t>
      </w:r>
    </w:p>
    <w:p>
      <w:pPr>
        <w:spacing w:after="160" w:before="0"/>
      </w:pPr>
      <w:r>
        <w:rPr>
          <w:rFonts w:ascii="Calibri" w:hAnsi="Calibri"/>
          <w:color w:val="1A1A1A"/>
          <w:sz w:val="22"/>
        </w:rPr>
        <w:t>Read this alongside the Discovery Phasing guide. Discovery is the primary mechanism for populating CMDB automatically — the CI classes you select here will shape which Discovery patterns and Service Graph Connectors need to be configured.</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customer is the decider in every section that follows. We frame the decisions, share what we have seen in similar engagements, and offer recommendations where we have strong observations. Where you land is your call, and we will partner with you to implement it.</w:t>
      </w:r>
    </w:p>
    <w:p>
      <w:pPr>
        <w:pStyle w:val="Heading1"/>
      </w:pPr>
      <w:r>
        <w:t>1.  Why CMDB Class Selection Matters Now</w:t>
      </w:r>
    </w:p>
    <w:p>
      <w:pPr>
        <w:pStyle w:val="Heading2"/>
      </w:pPr>
      <w:r>
        <w:t>Incident and Change accuracy depend on CI data quality</w:t>
      </w:r>
    </w:p>
    <w:p>
      <w:pPr>
        <w:spacing w:after="160" w:before="0"/>
      </w:pPr>
      <w:r>
        <w:rPr>
          <w:rFonts w:ascii="Calibri" w:hAnsi="Calibri"/>
          <w:color w:val="1A1A1A"/>
          <w:sz w:val="22"/>
        </w:rPr>
        <w:t>When an incident references a CI, ServiceNow can automatically calculate business impact (which services are affected), identify related open changes (is there a maintenance window that explains this?), and route the ticket to the CI owner. When the CI does not exist, or exists with stale data, none of those capabilities function. CI data quality is a prerequisite for the higher-value Incident and Change workflows — not an optional enrichment.</w:t>
      </w:r>
    </w:p>
    <w:p>
      <w:pPr>
        <w:pStyle w:val="Heading2"/>
      </w:pPr>
      <w:r>
        <w:t>HAM lifecycle tracking lives in the CMDB</w:t>
      </w:r>
    </w:p>
    <w:p>
      <w:pPr>
        <w:spacing w:after="160" w:before="0"/>
      </w:pPr>
      <w:r>
        <w:rPr>
          <w:rFonts w:ascii="Calibri" w:hAnsi="Calibri"/>
          <w:color w:val="1A1A1A"/>
          <w:sz w:val="22"/>
        </w:rPr>
        <w:t>Hardware Asset Management tracks assets as Configuration Items. The lifecycle states (Ordered, Received, In Stock, Deployed, Retired) and the relationships (this laptop is assigned to this user, connected to this network) are CMDB data. The quality of your HAM implementation is therefore bounded by the quality of your CMDB for the hardware CI classes.</w:t>
      </w:r>
    </w:p>
    <w:p>
      <w:pPr>
        <w:pStyle w:val="Heading2"/>
      </w:pPr>
      <w:r>
        <w:t>AI capabilities use CI context for smarter recommendations</w:t>
      </w:r>
    </w:p>
    <w:p>
      <w:pPr>
        <w:spacing w:after="160" w:before="0"/>
      </w:pPr>
      <w:r>
        <w:rPr>
          <w:rFonts w:ascii="Calibri" w:hAnsi="Calibri"/>
          <w:color w:val="1A1A1A"/>
          <w:sz w:val="22"/>
        </w:rPr>
        <w:t>Predictive Intelligence uses CI data as a routing signal — the same issue on a P1-critical server is routed differently than the same issue on a developer workstation. Change risk assessment uses CI criticality classification to calculate blast radius. The richer and more accurate your CI data, the more context AI capabilities have for making relevant recommendations.</w:t>
      </w:r>
    </w:p>
    <w:p>
      <w:r>
        <w:br w:type="page"/>
      </w:r>
    </w:p>
    <w:p>
      <w:pPr>
        <w:pStyle w:val="Heading1"/>
      </w:pPr>
      <w:r>
        <w:t>2.  The Signals That your CMDB configuration Needs Work</w:t>
      </w:r>
    </w:p>
    <w:p>
      <w:pPr>
        <w:spacing w:after="160" w:before="0"/>
      </w:pPr>
      <w:r>
        <w:rPr>
          <w:rFonts w:ascii="Calibri" w:hAnsi="Calibri"/>
          <w:color w:val="1A1A1A"/>
          <w:sz w:val="22"/>
        </w:rPr>
        <w:t>You may already sense that something has drifted. The signals below show up consistently across customers in similar positions. None of them mean the current state is broken — they mean it has grown into a shape that no longer fits the work it is being asked to do.</w:t>
      </w:r>
    </w:p>
    <w:p>
      <w:pPr>
        <w:pStyle w:val="Heading2"/>
      </w:pPr>
      <w:r>
        <w:t>CI records are created but never updated</w:t>
      </w:r>
    </w:p>
    <w:p>
      <w:pPr>
        <w:spacing w:after="160" w:before="0"/>
      </w:pPr>
      <w:r>
        <w:rPr>
          <w:rFonts w:ascii="Calibri" w:hAnsi="Calibri"/>
          <w:color w:val="1A1A1A"/>
          <w:sz w:val="22"/>
        </w:rPr>
        <w:t>A CMDB full of CI records with last-modified dates from the initial import is a CMDB that reflects the past, not the present. Static CMDB data is worse than no CMDB data in some respects — it creates false confidence. The moment CI data stops being current, it stops being trustworthy for process automation.</w:t>
      </w:r>
    </w:p>
    <w:p>
      <w:pPr>
        <w:pStyle w:val="Heading2"/>
      </w:pPr>
      <w:r>
        <w:t>CI classes were selected without a process consumer in mind</w:t>
      </w:r>
    </w:p>
    <w:p>
      <w:pPr>
        <w:spacing w:after="160" w:before="0"/>
      </w:pPr>
      <w:r>
        <w:rPr>
          <w:rFonts w:ascii="Calibri" w:hAnsi="Calibri"/>
          <w:color w:val="1A1A1A"/>
          <w:sz w:val="22"/>
        </w:rPr>
        <w:t>The most common CMDB scope error is tracking CI classes because they exist in the data model, not because any process uses them. A CI class with no process consuming it — no Incident routing based on it, no Change risk assessment using it, no HAM lifecycle connected to it — is configuration overhead with no return.</w:t>
      </w:r>
    </w:p>
    <w:p>
      <w:pPr>
        <w:pStyle w:val="Heading2"/>
      </w:pPr>
      <w:r>
        <w:t>CMDB health score is below 70%</w:t>
      </w:r>
    </w:p>
    <w:p>
      <w:pPr>
        <w:spacing w:after="160" w:before="0"/>
      </w:pPr>
      <w:r>
        <w:rPr>
          <w:rFonts w:ascii="Calibri" w:hAnsi="Calibri"/>
          <w:color w:val="1A1A1A"/>
          <w:sz w:val="22"/>
        </w:rPr>
        <w:t>ServiceNow's CMDB Health dashboard provides a data quality score across completeness, staleness, and orphaned record dimensions. A score below 70% indicates that a significant portion of CI records have missing mandatory attributes, stale data, or no relationship connections — and should trigger a scoping and governance review.</w:t>
      </w:r>
    </w:p>
    <w:p>
      <w:r>
        <w:br w:type="page"/>
      </w:r>
    </w:p>
    <w:p>
      <w:pPr>
        <w:pStyle w:val="Heading1"/>
      </w:pPr>
      <w:r>
        <w:t>3.  The Four Decisions</w:t>
      </w:r>
    </w:p>
    <w:p>
      <w:pPr>
        <w:spacing w:after="160" w:before="0"/>
      </w:pPr>
      <w:r>
        <w:rPr>
          <w:rFonts w:ascii="Calibri" w:hAnsi="Calibri"/>
          <w:color w:val="1A1A1A"/>
          <w:sz w:val="22"/>
        </w:rPr>
        <w:t>These are the decisions your team will make in the workshop. They are framed here with the questions they raise, the trade-offs to weigh, and where we typically see customers land. The point is not to bring you to our answer — it is to bring you to your answer with the full picture in view.</w:t>
      </w:r>
    </w:p>
    <w:p>
      <w:pPr>
        <w:pStyle w:val="Heading2"/>
      </w:pPr>
      <w:r>
        <w:t>Decision 1 — Which CI classes will you populate in Phase 1?</w:t>
      </w:r>
    </w:p>
    <w:p>
      <w:pPr>
        <w:spacing w:after="160" w:before="0"/>
      </w:pPr>
      <w:r>
        <w:rPr>
          <w:rFonts w:ascii="Calibri" w:hAnsi="Calibri"/>
          <w:color w:val="1A1A1A"/>
          <w:sz w:val="22"/>
        </w:rPr>
        <w:t>Select CI classes based on the processes that will use them, not based on infrastructure completeness. The Phase 1 recommendation: Server (for Incident and Change routing), Application (for CSDM service mapping), and Hardware Asset for end-user computing (for HAM). Add network, cloud, and database CI classes in subsequent phases as Discovery coverage grows.</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Which Incident routing decisions need CI context to be more accurate?</w:t>
      </w:r>
    </w:p>
    <w:p>
      <w:pPr>
        <w:pStyle w:val="ListBullet"/>
        <w:spacing w:after="40"/>
        <w:ind w:left="360"/>
      </w:pPr>
      <w:r>
        <w:rPr>
          <w:rFonts w:ascii="Calibri" w:hAnsi="Calibri"/>
          <w:sz w:val="22"/>
        </w:rPr>
        <w:t>Which Change types need CI criticality data for risk scoring?</w:t>
      </w:r>
    </w:p>
    <w:p>
      <w:pPr>
        <w:pStyle w:val="ListBullet"/>
        <w:spacing w:after="40"/>
        <w:ind w:left="360"/>
      </w:pPr>
      <w:r>
        <w:rPr>
          <w:rFonts w:ascii="Calibri" w:hAnsi="Calibri"/>
          <w:sz w:val="22"/>
        </w:rPr>
        <w:t>Is HAM in scope? If so, which hardware CI classes need to be populated?</w:t>
      </w:r>
    </w:p>
    <w:p>
      <w:pPr>
        <w:spacing w:after="160" w:before="80"/>
      </w:pPr>
      <w:r>
        <w:rPr>
          <w:rFonts w:ascii="Calibri" w:hAnsi="Calibri"/>
          <w:i/>
          <w:color w:val="1A1A1A"/>
          <w:sz w:val="22"/>
        </w:rPr>
        <w:t>Start with 3–5 CI classes tied to specific process consumers. Each additional class requires a named owner and a data population plan before it goes live.</w:t>
      </w:r>
    </w:p>
    <w:p>
      <w:pPr>
        <w:pStyle w:val="Heading2"/>
      </w:pPr>
      <w:r>
        <w:t>Decision 2 — What attribute depth is required for each class?</w:t>
      </w:r>
    </w:p>
    <w:p>
      <w:pPr>
        <w:spacing w:after="160" w:before="0"/>
      </w:pPr>
      <w:r>
        <w:rPr>
          <w:rFonts w:ascii="Calibri" w:hAnsi="Calibri"/>
          <w:color w:val="1A1A1A"/>
          <w:sz w:val="22"/>
        </w:rPr>
        <w:t>Each CI class has dozens of possible attributes. Only a fraction of those attributes are actively used by processes. Populating attributes that no process reads is configuration overhead. For each CI class in scope, define the minimum attribute set needed by the processes that consume it — and make those mandatory. Leave optional attributes optional.</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For Server CIs: which attributes are used by Incident routing, Change risk, and CMDB health reporting?</w:t>
      </w:r>
    </w:p>
    <w:p>
      <w:pPr>
        <w:pStyle w:val="ListBullet"/>
        <w:spacing w:after="40"/>
        <w:ind w:left="360"/>
      </w:pPr>
      <w:r>
        <w:rPr>
          <w:rFonts w:ascii="Calibri" w:hAnsi="Calibri"/>
          <w:sz w:val="22"/>
        </w:rPr>
        <w:t>For Hardware CIs: which attributes are needed for HAM lifecycle tracking and asset audit?</w:t>
      </w:r>
    </w:p>
    <w:p>
      <w:pPr>
        <w:pStyle w:val="ListBullet"/>
        <w:spacing w:after="40"/>
        <w:ind w:left="360"/>
      </w:pPr>
      <w:r>
        <w:rPr>
          <w:rFonts w:ascii="Calibri" w:hAnsi="Calibri"/>
          <w:sz w:val="22"/>
        </w:rPr>
        <w:t>Are there compliance or audit requirements that mandate specific CI attributes?</w:t>
      </w:r>
    </w:p>
    <w:p>
      <w:pPr>
        <w:pStyle w:val="Heading2"/>
      </w:pPr>
      <w:r>
        <w:t>Decision 3 — How will CI relationships be captured?</w:t>
      </w:r>
    </w:p>
    <w:p>
      <w:pPr>
        <w:spacing w:after="160" w:before="0"/>
      </w:pPr>
      <w:r>
        <w:rPr>
          <w:rFonts w:ascii="Calibri" w:hAnsi="Calibri"/>
          <w:color w:val="1A1A1A"/>
          <w:sz w:val="22"/>
        </w:rPr>
        <w:t>CI relationships — 'this server runs this application,' 'this application depends on this database' — are what turn a CI inventory into a service dependency map. Relationships can be populated automatically by Discovery and Service Graph Connectors, or manually for high-priority CIs where automated discovery is not yet configured.</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Are the relationships most important for your Incident and Change processes discoverable automatically?</w:t>
      </w:r>
    </w:p>
    <w:p>
      <w:pPr>
        <w:pStyle w:val="ListBullet"/>
        <w:spacing w:after="40"/>
        <w:ind w:left="360"/>
      </w:pPr>
      <w:r>
        <w:rPr>
          <w:rFonts w:ascii="Calibri" w:hAnsi="Calibri"/>
          <w:sz w:val="22"/>
        </w:rPr>
        <w:t>Is there a manual relationship definition process for the critical CIs that cannot be auto-discovered?</w:t>
      </w:r>
    </w:p>
    <w:p>
      <w:pPr>
        <w:pStyle w:val="ListBullet"/>
        <w:spacing w:after="40"/>
        <w:ind w:left="360"/>
      </w:pPr>
      <w:r>
        <w:rPr>
          <w:rFonts w:ascii="Calibri" w:hAnsi="Calibri"/>
          <w:sz w:val="22"/>
        </w:rPr>
        <w:t>Is CSDM being built concurrently — and will service relationships be defined at the CSDM layer?</w:t>
      </w:r>
    </w:p>
    <w:p>
      <w:pPr>
        <w:pStyle w:val="Heading2"/>
      </w:pPr>
      <w:r>
        <w:t>Decision 4 — Who governs CMDB data quality, and what is the review cadence?</w:t>
      </w:r>
    </w:p>
    <w:p>
      <w:pPr>
        <w:spacing w:after="160" w:before="0"/>
      </w:pPr>
      <w:r>
        <w:rPr>
          <w:rFonts w:ascii="Calibri" w:hAnsi="Calibri"/>
          <w:color w:val="1A1A1A"/>
          <w:sz w:val="22"/>
        </w:rPr>
        <w:t>CMDB data quality requires active governance — someone reviews the CMDB Health score, investigates staleness flags, and approves new CI class additions. Without a named owner and a review schedule, CMDB data drifts from current state within 3–6 months of go-live. The workshop will assign ownership and define the minimum governance cadence.</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Who is the named CMDB owner post-go-live?</w:t>
      </w:r>
    </w:p>
    <w:p>
      <w:pPr>
        <w:pStyle w:val="ListBullet"/>
        <w:spacing w:after="40"/>
        <w:ind w:left="360"/>
      </w:pPr>
      <w:r>
        <w:rPr>
          <w:rFonts w:ascii="Calibri" w:hAnsi="Calibri"/>
          <w:sz w:val="22"/>
        </w:rPr>
        <w:t>How frequently will the CMDB Health dashboard be reviewed?</w:t>
      </w:r>
    </w:p>
    <w:p>
      <w:pPr>
        <w:pStyle w:val="ListBullet"/>
        <w:spacing w:after="40"/>
        <w:ind w:left="360"/>
      </w:pPr>
      <w:r>
        <w:rPr>
          <w:rFonts w:ascii="Calibri" w:hAnsi="Calibri"/>
          <w:sz w:val="22"/>
        </w:rPr>
        <w:t>What is the process for requesting a new CI class or a new mandatory attribute?</w:t>
      </w:r>
    </w:p>
    <w:p>
      <w:r>
        <w:br w:type="page"/>
      </w:r>
    </w:p>
    <w:p>
      <w:pPr>
        <w:pStyle w:val="Heading1"/>
      </w:pPr>
      <w:r>
        <w:t>4.  What Good Looks Like</w:t>
      </w:r>
    </w:p>
    <w:p>
      <w:pPr>
        <w:spacing w:after="160" w:before="0"/>
      </w:pPr>
      <w:r>
        <w:rPr>
          <w:rFonts w:ascii="Calibri" w:hAnsi="Calibri"/>
          <w:color w:val="1A1A1A"/>
          <w:sz w:val="22"/>
        </w:rPr>
        <w:t>Good is not a single configuration. It is a set of properties that, together, signal a healthy and sustainable design. The table below contrasts what we aim for with the warning signs that suggest a design needs revisiting.</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good looks like</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Warning sign</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Every populated CI class is consumed by at least one active process</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 classes populated because they exist in the data model, not because any process uses them</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CI records updated automatically by Discovery or Service Graph Connectors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CI records created at import and never updated — data is a historical snapshot</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Health score above 80% — completeness, staleness, and orphan metrics green</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Health below 70% — systematic data quality issues across multiple dimensions</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Mandatory attributes defined per class based on process consumer requirements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All attributes optional — CMDB records have inconsistent completeness</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Named CMDB owner reviews health monthly and closes gaps</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owned by everyone and no one — health score not reviewed</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CI class scope expands only when a new process consumer is identified</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CI classes added without a consuming process — scope grows without quality following</w:t>
            </w:r>
          </w:p>
        </w:tc>
      </w:tr>
    </w:tbl>
    <w:p>
      <w:pPr>
        <w:spacing w:after="40"/>
      </w:pPr>
    </w:p>
    <w:p>
      <w:pPr>
        <w:pStyle w:val="Heading1"/>
      </w:pPr>
      <w:r>
        <w:t>5.  Common Patterns We Have Seen</w:t>
      </w:r>
    </w:p>
    <w:p>
      <w:pPr>
        <w:spacing w:after="160" w:before="0"/>
      </w:pPr>
      <w:r>
        <w:rPr>
          <w:rFonts w:ascii="Calibri" w:hAnsi="Calibri"/>
          <w:color w:val="1A1A1A"/>
          <w:sz w:val="22"/>
        </w:rPr>
        <w:t>These de-identified examples illustrate how different organizations have approached this set of decisions. Names and identifying details have been changed.</w:t>
      </w:r>
    </w:p>
    <w:p>
      <w:pPr>
        <w:pStyle w:val="Heading2"/>
      </w:pPr>
      <w:r>
        <w:t>Pattern A — Three CI classes, high fidelity</w:t>
      </w:r>
    </w:p>
    <w:p>
      <w:pPr>
        <w:spacing w:after="160" w:before="0"/>
      </w:pPr>
      <w:r>
        <w:rPr>
          <w:rFonts w:ascii="Calibri" w:hAnsi="Calibri"/>
          <w:color w:val="1A1A1A"/>
          <w:sz w:val="22"/>
        </w:rPr>
        <w:t>A federal agency limited Phase 1 CMDB scope to three CI classes: Server, Business Application (for CSDM), and Computer (for HAM). Every CI in those three classes had a defined set of mandatory attributes, a Discovery pattern populating them automatically, and a named owner per class. CMDB Health score was 88% at 90 days post-go-live. The agency resisted requests to expand scope in Phase 1 and had a working, trusted CMDB foundation when Phase 2 began.</w:t>
      </w:r>
    </w:p>
    <w:p>
      <w:pPr>
        <w:pStyle w:val="Heading2"/>
      </w:pPr>
      <w:r>
        <w:t>Pattern B — CI relationship manual seeding for critical systems</w:t>
      </w:r>
    </w:p>
    <w:p>
      <w:pPr>
        <w:spacing w:after="160" w:before="0"/>
      </w:pPr>
      <w:r>
        <w:rPr>
          <w:rFonts w:ascii="Calibri" w:hAnsi="Calibri"/>
          <w:color w:val="1A1A1A"/>
          <w:sz w:val="22"/>
        </w:rPr>
        <w:t>A healthcare organization had 12 mission-critical applications that needed service relationship mapping before Discovery was fully configured. They ran a two-week manual seeding exercise: an architect walked through each critical application and manually documented its dependencies on servers, databases, and network components. Those 12 application service maps were then available for Incident impact calculation and Change risk scoring immediately at go-live, before automated discovery was complete.</w:t>
      </w:r>
    </w:p>
    <w:p>
      <w:pPr>
        <w:pStyle w:val="Heading2"/>
      </w:pPr>
      <w:r>
        <w:t>Pattern C — CMDB Health as a standing dashboard item</w:t>
      </w:r>
    </w:p>
    <w:p>
      <w:pPr>
        <w:spacing w:after="160" w:before="0"/>
      </w:pPr>
      <w:r>
        <w:rPr>
          <w:rFonts w:ascii="Calibri" w:hAnsi="Calibri"/>
          <w:color w:val="1A1A1A"/>
          <w:sz w:val="22"/>
        </w:rPr>
        <w:t>A technology company added CMDB Health score to their weekly IT operations review dashboard — alongside Incident SLA compliance and Change success rate. The visibility created accountability: when the staleness metric dropped below 75% in month three, the conversation happened immediately rather than being discovered in an audit. The root cause (a Discovery schedule gap) was fixed within the same week it was flagged.</w:t>
      </w:r>
    </w:p>
    <w:p>
      <w:r>
        <w:br w:type="page"/>
      </w:r>
    </w:p>
    <w:p>
      <w:pPr>
        <w:pStyle w:val="Heading1"/>
      </w:pPr>
      <w:r>
        <w:t>6.  How We Will Workshop This Together</w:t>
      </w:r>
    </w:p>
    <w:p>
      <w:pPr>
        <w:spacing w:after="160" w:before="0"/>
      </w:pPr>
      <w:r>
        <w:rPr>
          <w:rFonts w:ascii="Calibri" w:hAnsi="Calibri"/>
          <w:color w:val="1A1A1A"/>
          <w:sz w:val="22"/>
        </w:rPr>
        <w:t>The workshop will map your process areas to CI class requirements, define the mandatory attribute set for each class in scope, review the Discovery and Service Graph Connector configuration plan against the class selection, and assign data governance ownership. The output is a CMDB scope document with a phased expansion roadmap.</w:t>
      </w:r>
    </w:p>
    <w:p>
      <w:pPr>
        <w:pStyle w:val="Heading1"/>
      </w:pPr>
      <w:r>
        <w:t>7.  What We Will Need from Your Team</w:t>
      </w:r>
    </w:p>
    <w:p>
      <w:pPr>
        <w:spacing w:after="160" w:before="0"/>
      </w:pPr>
      <w:r>
        <w:rPr>
          <w:rFonts w:ascii="Calibri" w:hAnsi="Calibri"/>
          <w:color w:val="1A1A1A"/>
          <w:sz w:val="22"/>
        </w:rPr>
        <w:t>You do not need to prepare formal reports or pull data from every system. The items below help us move faster and surface the right context in the workshop.</w:t>
      </w:r>
    </w:p>
    <w:p>
      <w:pPr>
        <w:pStyle w:val="ListBullet"/>
        <w:spacing w:after="40"/>
        <w:ind w:left="360"/>
      </w:pPr>
      <w:r>
        <w:rPr>
          <w:rFonts w:ascii="Calibri" w:hAnsi="Calibri"/>
          <w:sz w:val="22"/>
        </w:rPr>
        <w:t>Current infrastructure inventory (spreadsheet, existing CMDB export, or architecture diagram)</w:t>
      </w:r>
    </w:p>
    <w:p>
      <w:pPr>
        <w:pStyle w:val="ListBullet"/>
        <w:spacing w:after="40"/>
        <w:ind w:left="360"/>
      </w:pPr>
      <w:r>
        <w:rPr>
          <w:rFonts w:ascii="Calibri" w:hAnsi="Calibri"/>
          <w:sz w:val="22"/>
        </w:rPr>
        <w:t>List of process areas in scope — Incident, Change, HAM — to map CI class requirements</w:t>
      </w:r>
    </w:p>
    <w:p>
      <w:pPr>
        <w:pStyle w:val="ListBullet"/>
        <w:spacing w:after="40"/>
        <w:ind w:left="360"/>
      </w:pPr>
      <w:r>
        <w:rPr>
          <w:rFonts w:ascii="Calibri" w:hAnsi="Calibri"/>
          <w:sz w:val="22"/>
        </w:rPr>
        <w:t>Discovery deployment plan if already underway (MID Server locations, scan scope)</w:t>
      </w:r>
    </w:p>
    <w:p>
      <w:pPr>
        <w:pStyle w:val="ListBullet"/>
        <w:spacing w:after="40"/>
        <w:ind w:left="360"/>
      </w:pPr>
      <w:r>
        <w:rPr>
          <w:rFonts w:ascii="Calibri" w:hAnsi="Calibri"/>
          <w:sz w:val="22"/>
        </w:rPr>
        <w:t>Cloud environment inventory (AWS accounts, Azure subscriptions) for Service Graph Connector planning</w:t>
      </w:r>
    </w:p>
    <w:p>
      <w:pPr>
        <w:pStyle w:val="Heading1"/>
      </w:pPr>
      <w:r>
        <w:t>8.  Questions to Consider Before Our Session</w:t>
      </w:r>
    </w:p>
    <w:p>
      <w:pPr>
        <w:spacing w:after="160" w:before="0"/>
      </w:pPr>
      <w:r>
        <w:rPr>
          <w:rFonts w:ascii="Calibri" w:hAnsi="Calibri"/>
          <w:color w:val="1A1A1A"/>
          <w:sz w:val="22"/>
        </w:rPr>
        <w:t>Bring whatever you have. These are prompts for reflection, not prerequisites. The workshop is where we work through the answers together.</w:t>
      </w:r>
    </w:p>
    <w:p>
      <w:pPr>
        <w:pStyle w:val="ListBullet"/>
        <w:spacing w:after="40"/>
        <w:ind w:left="360"/>
      </w:pPr>
      <w:r>
        <w:rPr>
          <w:rFonts w:ascii="Calibri" w:hAnsi="Calibri"/>
          <w:sz w:val="22"/>
        </w:rPr>
        <w:t>Do you have an existing CMDB? If so, what is the current record count and health score?</w:t>
      </w:r>
    </w:p>
    <w:p>
      <w:pPr>
        <w:pStyle w:val="ListBullet"/>
        <w:spacing w:after="40"/>
        <w:ind w:left="360"/>
      </w:pPr>
      <w:r>
        <w:rPr>
          <w:rFonts w:ascii="Calibri" w:hAnsi="Calibri"/>
          <w:sz w:val="22"/>
        </w:rPr>
        <w:t>Which process decisions most urgently need CI data — Incident routing, Change risk, HAM?</w:t>
      </w:r>
    </w:p>
    <w:p>
      <w:pPr>
        <w:pStyle w:val="ListBullet"/>
        <w:spacing w:after="40"/>
        <w:ind w:left="360"/>
      </w:pPr>
      <w:r>
        <w:rPr>
          <w:rFonts w:ascii="Calibri" w:hAnsi="Calibri"/>
          <w:sz w:val="22"/>
        </w:rPr>
        <w:t>Is your infrastructure primarily on-premises, cloud, or hybrid?</w:t>
      </w:r>
    </w:p>
    <w:p>
      <w:pPr>
        <w:pStyle w:val="ListBullet"/>
        <w:spacing w:after="40"/>
        <w:ind w:left="360"/>
      </w:pPr>
      <w:r>
        <w:rPr>
          <w:rFonts w:ascii="Calibri" w:hAnsi="Calibri"/>
          <w:sz w:val="22"/>
        </w:rPr>
        <w:t>Who currently owns infrastructure inventory in your organization?</w:t>
      </w:r>
    </w:p>
    <w:p>
      <w:pPr>
        <w:pStyle w:val="ListBullet"/>
        <w:spacing w:after="40"/>
        <w:ind w:left="360"/>
      </w:pPr>
      <w:r>
        <w:rPr>
          <w:rFonts w:ascii="Calibri" w:hAnsi="Calibri"/>
          <w:sz w:val="22"/>
        </w:rPr>
        <w:t>Are there CI classes you know you need but are not sure how to populate?</w:t>
      </w:r>
    </w:p>
    <w:p>
      <w:pPr>
        <w:pStyle w:val="Heading1"/>
      </w:pPr>
      <w:r>
        <w:t>9.  Cross-References and Next Steps</w:t>
      </w:r>
    </w:p>
    <w:p>
      <w:pPr>
        <w:spacing w:after="160" w:before="0"/>
      </w:pPr>
      <w:r>
        <w:rPr>
          <w:rFonts w:ascii="Calibri" w:hAnsi="Calibri"/>
          <w:color w:val="1A1A1A"/>
          <w:sz w:val="22"/>
        </w:rPr>
        <w:t>This guide sits within a broader set of client materials. The table below identifies the most relevant companions.</w:t>
      </w:r>
    </w:p>
    <w:tbl>
      <w:tblPr>
        <w:tblW w:type="auto" w:w="0"/>
        <w:jc w:val="left"/>
        <w:tblLook w:firstColumn="1" w:firstRow="1" w:lastColumn="0" w:lastRow="0" w:noHBand="0" w:noVBand="1" w:val="04A0"/>
      </w:tblPr>
      <w:tblGrid>
        <w:gridCol w:w="3120"/>
        <w:gridCol w:w="3120"/>
        <w:gridCol w:w="312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relevant</w:t>
            </w:r>
          </w:p>
        </w:tc>
        <w:tc>
          <w:tcPr>
            <w:tcW w:type="dxa" w:w="296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Where to find it</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Background reading for the CMDB workshop session</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Phasing Decision Guide</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populates CMDB CIs automatically — the two designs are linked</w:t>
            </w:r>
          </w:p>
        </w:tc>
        <w:tc>
          <w:tcPr>
            <w:tcW w:type="dxa" w:w="296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02_Client/04_Decision_Topic_Guides/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CSDM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CSDM service hierarchy builds on CMDB CI data — understand the sequencing</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Decision Topic Guide  ·  CMDB Class Selection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