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DECISION TOPIC GUIDE  ·  CATEGORY STRUCTURE SIMPLIFICATION</w:t>
      </w:r>
    </w:p>
    <w:p>
      <w:pPr>
        <w:spacing w:before="0" w:after="40"/>
      </w:pPr>
      <w:r>
        <w:rPr>
          <w:rFonts w:ascii="Calibri" w:hAnsi="Calibri"/>
          <w:b/>
          <w:color w:val="0B1F3A"/>
          <w:sz w:val="56"/>
        </w:rPr>
        <w:t>Category Structure</w:t>
      </w:r>
    </w:p>
    <w:p>
      <w:pPr>
        <w:spacing w:before="0" w:after="40"/>
      </w:pPr>
      <w:r>
        <w:rPr>
          <w:rFonts w:ascii="Calibri" w:hAnsi="Calibri"/>
          <w:b/>
          <w:color w:val="0B1F3A"/>
          <w:sz w:val="56"/>
        </w:rPr>
        <w:t>Simplification</w:t>
      </w:r>
    </w:p>
    <w:p>
      <w:pPr>
        <w:spacing w:before="120" w:after="400"/>
      </w:pPr>
      <w:r>
        <w:rPr>
          <w:rFonts w:ascii="Calibri" w:hAnsi="Calibri"/>
          <w:i/>
          <w:color w:val="0D9488"/>
          <w:sz w:val="24"/>
        </w:rPr>
        <w:t>A decision guide for shaping the taxonomy that routes and classifies your service delivery work</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Service Owners, Catalog Owners, Process Managers, Service Desk Leadership</w:t>
      </w:r>
    </w:p>
    <w:p>
      <w:pPr>
        <w:spacing w:after="40"/>
      </w:pPr>
      <w:r>
        <w:rPr>
          <w:rFonts w:ascii="Calibri" w:hAnsi="Calibri"/>
          <w:b w:val="0"/>
          <w:i w:val="0"/>
          <w:color w:val="475569"/>
          <w:sz w:val="20"/>
        </w:rPr>
        <w:t>Companion to: Catalog Item Rationalization Decision Guide · Workshop Pre-Read: Category Structure</w:t>
      </w:r>
    </w:p>
    <w:p>
      <w:pPr>
        <w:spacing w:after="80"/>
      </w:pPr>
      <w:r>
        <w:rPr>
          <w:rFonts w:ascii="Calibri" w:hAnsi="Calibri"/>
          <w:b w:val="0"/>
          <w:i w:val="0"/>
          <w:color w:val="475569"/>
          <w:sz w:val="20"/>
        </w:rPr>
        <w:t>Document ID: CLT-DT-02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Guide</w:t>
      </w:r>
    </w:p>
    <w:p>
      <w:pPr>
        <w:spacing w:after="160" w:before="0"/>
      </w:pPr>
      <w:r>
        <w:rPr>
          <w:rFonts w:ascii="Calibri" w:hAnsi="Calibri"/>
          <w:color w:val="1A1A1A"/>
          <w:sz w:val="22"/>
        </w:rPr>
        <w:t>Every ticket submitted in ServiceNow carries a category. That category determines routing, SLA selection, reporting, and — once Predictive Intelligence is active — whether the platform routes it for you. The decisions in this guide shape that taxonomy: how many levels it has, what each level means, and how it stays coherent as your catalog and your organization evolve.</w:t>
      </w:r>
    </w:p>
    <w:p>
      <w:pPr>
        <w:spacing w:after="160" w:before="0"/>
      </w:pPr>
      <w:r>
        <w:rPr>
          <w:rFonts w:ascii="Calibri" w:hAnsi="Calibri"/>
          <w:color w:val="1A1A1A"/>
          <w:sz w:val="22"/>
        </w:rPr>
        <w:t>Read this alongside the Catalog Item Rationalization guide. Catalog rationalization addresses what users can request; category structure addresses how those requests and incidents are classified after they arrive. The two reinforce each other — a rationalized catalog produces cleaner categories, and clean categories make a rationalized catalog easier to maintain.</w:t>
      </w:r>
    </w:p>
    <w:p>
      <w:pPr>
        <w:spacing w:after="160" w:before="0"/>
      </w:pPr>
      <w:r>
        <w:rPr>
          <w:rFonts w:ascii="Calibri" w:hAnsi="Calibri"/>
          <w:color w:val="1A1A1A"/>
          <w:sz w:val="22"/>
        </w:rPr>
        <w:t>This is one of the decisions where organizations most commonly over-engineer the first draft and regret it by the end of the engagement. The questions below are designed to help you arrive at the simplest structure that is genuinely sufficient — not the most comprehensive one imaginable.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customer is the decider in every section that follows. We frame the decisions, share what we have seen in similar engagements, and offer recommendations where we have strong observations. Where you land is your call, and we will partner with you to implement it.</w:t>
      </w:r>
    </w:p>
    <w:p>
      <w:pPr>
        <w:pStyle w:val="Heading1"/>
      </w:pPr>
      <w:r>
        <w:t>1.  Why Category Structure Simplification Matters Now</w:t>
      </w:r>
    </w:p>
    <w:p>
      <w:pPr>
        <w:pStyle w:val="Heading2"/>
      </w:pPr>
      <w:r>
        <w:t>Category is the primary routing signal for every ticket</w:t>
      </w:r>
    </w:p>
    <w:p>
      <w:pPr>
        <w:spacing w:after="160" w:before="0"/>
      </w:pPr>
      <w:r>
        <w:rPr>
          <w:rFonts w:ascii="Calibri" w:hAnsi="Calibri"/>
          <w:color w:val="1A1A1A"/>
          <w:sz w:val="22"/>
        </w:rPr>
        <w:t>When an incident or request arrives, category is what tells ServiceNow which assignment group to route it to, which SLA to apply, and which reports to count it in. A category taxonomy that does not match how your teams actually organize work produces routing errors, SLA miscalculations, and reporting that nobody trusts. The category taxonomy is not a label — it is the routing engine for your entire service delivery operation.</w:t>
      </w:r>
    </w:p>
    <w:p>
      <w:pPr>
        <w:pStyle w:val="Heading2"/>
      </w:pPr>
      <w:r>
        <w:t>Predictive Intelligence trains on your category data</w:t>
      </w:r>
    </w:p>
    <w:p>
      <w:pPr>
        <w:spacing w:after="160" w:before="0"/>
      </w:pPr>
      <w:r>
        <w:rPr>
          <w:rFonts w:ascii="Calibri" w:hAnsi="Calibri"/>
          <w:color w:val="1A1A1A"/>
          <w:sz w:val="22"/>
        </w:rPr>
        <w:t>When you activate Predictive Intelligence, the platform trains a machine learning model on your historical incident and request records. The model predicts the category of incoming tickets before an agent touches them. A category taxonomy with too many levels, too many near-synonyms, or inconsistent usage produces a model that predicts poorly — and an AI capability that agents learn to ignore. The quality of your category structure is the quality ceiling for your AI routing.</w:t>
      </w:r>
    </w:p>
    <w:p>
      <w:pPr>
        <w:pStyle w:val="Heading2"/>
      </w:pPr>
      <w:r>
        <w:t>CSDM and Service Graph absorb context that used to live in categories</w:t>
      </w:r>
    </w:p>
    <w:p>
      <w:pPr>
        <w:spacing w:after="160" w:before="0"/>
      </w:pPr>
      <w:r>
        <w:rPr>
          <w:rFonts w:ascii="Calibri" w:hAnsi="Calibri"/>
          <w:color w:val="1A1A1A"/>
          <w:sz w:val="22"/>
        </w:rPr>
        <w:t>Many category structures grew large because they were doing double duty — carrying routing logic AND service context. ServiceNow's Common Service Data Model (CSDM) and CMDB now carry that service context directly, connected to the CI. This creates a real opportunity: categories can be simplified to pure routing taxonomy because the service context has a better home. Organizations that make this connection arrive at a two-level category structure that is dramatically simpler than what they started with.</w:t>
      </w:r>
    </w:p>
    <w:p>
      <w:r>
        <w:br w:type="page"/>
      </w:r>
    </w:p>
    <w:p>
      <w:pPr>
        <w:pStyle w:val="Heading1"/>
      </w:pPr>
      <w:r>
        <w:t>2.  The Signals That your category structure Needs Work</w:t>
      </w:r>
    </w:p>
    <w:p>
      <w:pPr>
        <w:spacing w:after="160" w:before="0"/>
      </w:pPr>
      <w:r>
        <w:rPr>
          <w:rFonts w:ascii="Calibri" w:hAnsi="Calibri"/>
          <w:color w:val="1A1A1A"/>
          <w:sz w:val="22"/>
        </w:rPr>
        <w:t>You may already sense that something has drifted. The signals below show up consistently across customers in similar positions. None of them mean the current state is broken — they mean it has grown into a shape that no longer fits the work it is being asked to do.</w:t>
      </w:r>
    </w:p>
    <w:p>
      <w:pPr>
        <w:pStyle w:val="Heading2"/>
      </w:pPr>
      <w:r>
        <w:t>Categories and subcategories number in the hundreds</w:t>
      </w:r>
    </w:p>
    <w:p>
      <w:pPr>
        <w:spacing w:after="160" w:before="0"/>
      </w:pPr>
      <w:r>
        <w:rPr>
          <w:rFonts w:ascii="Calibri" w:hAnsi="Calibri"/>
          <w:color w:val="1A1A1A"/>
          <w:sz w:val="22"/>
        </w:rPr>
        <w:t>A category taxonomy with more than 50–80 combined categories and subcategories is a signal that the structure has accumulated rather than been designed. Most routing requirements can be met with 20–40 categories and a matching set of subcategories. When the count is in the hundreds, the taxonomy is typically doing work that belongs elsewhere — in the CI, in the service classification, or in a custom field.</w:t>
      </w:r>
    </w:p>
    <w:p>
      <w:pPr>
        <w:pStyle w:val="Heading2"/>
      </w:pPr>
      <w:r>
        <w:t>Agents categorize the same issue differently</w:t>
      </w:r>
    </w:p>
    <w:p>
      <w:pPr>
        <w:spacing w:after="160" w:before="0"/>
      </w:pPr>
      <w:r>
        <w:rPr>
          <w:rFonts w:ascii="Calibri" w:hAnsi="Calibri"/>
          <w:color w:val="1A1A1A"/>
          <w:sz w:val="22"/>
        </w:rPr>
        <w:t>If two agents handle the same type of incident and assign different categories, the taxonomy is ambiguous. Ambiguous categories produce a dataset that Predictive Intelligence cannot train on reliably, because the 'right' answer is inconsistent. This is the single strongest signal that a rationalization is needed before AI enablement.</w:t>
      </w:r>
    </w:p>
    <w:p>
      <w:pPr>
        <w:pStyle w:val="Heading2"/>
      </w:pPr>
      <w:r>
        <w:t>Subcategory options change depending on category</w:t>
      </w:r>
    </w:p>
    <w:p>
      <w:pPr>
        <w:spacing w:after="160" w:before="0"/>
      </w:pPr>
      <w:r>
        <w:rPr>
          <w:rFonts w:ascii="Calibri" w:hAnsi="Calibri"/>
          <w:color w:val="1A1A1A"/>
          <w:sz w:val="22"/>
        </w:rPr>
        <w:t>Many legacy taxonomies implement dependent picklists — the subcategory options change based on the category selected. When this logic becomes complex (more than two or three levels of dependency), it becomes difficult to maintain and creates gaps when new categories are added. A flat two-level structure with clear definitions consistently outperforms complex dependent hierarchies for both usability and AI performance.</w:t>
      </w:r>
    </w:p>
    <w:p>
      <w:pPr>
        <w:pStyle w:val="Heading2"/>
      </w:pPr>
      <w:r>
        <w:t>Reports show a long tail of rarely used categories</w:t>
      </w:r>
    </w:p>
    <w:p>
      <w:pPr>
        <w:spacing w:after="160" w:before="0"/>
      </w:pPr>
      <w:r>
        <w:rPr>
          <w:rFonts w:ascii="Calibri" w:hAnsi="Calibri"/>
          <w:color w:val="1A1A1A"/>
          <w:sz w:val="22"/>
        </w:rPr>
        <w:t>Pulling a report of incident volume by category almost always shows a small set of categories handling 80% of volume, and a large tail of categories that each account for fewer than 1% of tickets. The long tail is not necessarily wrong — some legitimate services are low volume — but categories with zero tickets in the past six months are strong retirement candidates.</w:t>
      </w:r>
    </w:p>
    <w:p>
      <w:r>
        <w:br w:type="page"/>
      </w:r>
    </w:p>
    <w:p>
      <w:pPr>
        <w:pStyle w:val="Heading1"/>
      </w:pPr>
      <w:r>
        <w:t>3.  The Four Decisions</w:t>
      </w:r>
    </w:p>
    <w:p>
      <w:pPr>
        <w:spacing w:after="160" w:before="0"/>
      </w:pPr>
      <w:r>
        <w:rPr>
          <w:rFonts w:ascii="Calibri" w:hAnsi="Calibri"/>
          <w:color w:val="1A1A1A"/>
          <w:sz w:val="22"/>
        </w:rPr>
        <w:t>These are the decisions your team will make in the workshop. They are framed here with the questions they raise, the trade-offs to weigh, and where we typically see customers land. The point is not to bring you to our answer — it is to bring you to your answer with the full picture in view.</w:t>
      </w:r>
    </w:p>
    <w:p>
      <w:pPr>
        <w:pStyle w:val="Heading2"/>
      </w:pPr>
      <w:r>
        <w:t>Decision 1 — What is the right taxonomy depth — one level, two, or more?</w:t>
      </w:r>
    </w:p>
    <w:p>
      <w:pPr>
        <w:spacing w:after="160" w:before="0"/>
      </w:pPr>
      <w:r>
        <w:rPr>
          <w:rFonts w:ascii="Calibri" w:hAnsi="Calibri"/>
          <w:color w:val="1A1A1A"/>
          <w:sz w:val="22"/>
        </w:rPr>
        <w:t>The most common OOTB-aligned answer is a two-level taxonomy: Category (the service domain or team, e.g., 'Network') and Subcategory (the type of issue within that domain, e.g., 'VPN Connectivity'). Three or more levels are occasionally warranted but require a clear rationale — typically a large organization where routing decisions genuinely require that specificity.</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Can your assignment rules be expressed with two levels? If yes, two levels is sufficient.</w:t>
      </w:r>
    </w:p>
    <w:p>
      <w:pPr>
        <w:pStyle w:val="ListBullet"/>
        <w:spacing w:after="40"/>
        <w:ind w:left="360"/>
      </w:pPr>
      <w:r>
        <w:rPr>
          <w:rFonts w:ascii="Calibri" w:hAnsi="Calibri"/>
          <w:sz w:val="22"/>
        </w:rPr>
        <w:t>Does any routing decision require a third-level field, or can that context come from the CI?</w:t>
      </w:r>
    </w:p>
    <w:p>
      <w:pPr>
        <w:pStyle w:val="ListBullet"/>
        <w:spacing w:after="40"/>
        <w:ind w:left="360"/>
      </w:pPr>
      <w:r>
        <w:rPr>
          <w:rFonts w:ascii="Calibri" w:hAnsi="Calibri"/>
          <w:sz w:val="22"/>
        </w:rPr>
        <w:t>What does the taxonomy look like if you limit yourself to 30 categories and 5 subcategories each?</w:t>
      </w:r>
    </w:p>
    <w:p>
      <w:pPr>
        <w:spacing w:after="160" w:before="80"/>
      </w:pPr>
      <w:r>
        <w:rPr>
          <w:rFonts w:ascii="Calibri" w:hAnsi="Calibri"/>
          <w:i/>
          <w:color w:val="1A1A1A"/>
          <w:sz w:val="22"/>
        </w:rPr>
        <w:t>Where customers usually land: a two-level structure with 20–40 categories and 3–8 subcategories per category. Organizations that try to keep three levels typically simplify to two after their first review cycle.</w:t>
      </w:r>
    </w:p>
    <w:p>
      <w:pPr>
        <w:pStyle w:val="Heading2"/>
      </w:pPr>
      <w:r>
        <w:t>Decision 2 — What does each level mean — categorization, identification, or routing?</w:t>
      </w:r>
    </w:p>
    <w:p>
      <w:pPr>
        <w:spacing w:after="160" w:before="0"/>
      </w:pPr>
      <w:r>
        <w:rPr>
          <w:rFonts w:ascii="Calibri" w:hAnsi="Calibri"/>
          <w:color w:val="1A1A1A"/>
          <w:sz w:val="22"/>
        </w:rPr>
        <w:t>Categories should answer one question: which team or service domain is responsible? Subcategories should answer: what type of work is this within that domain? If a category or subcategory is carrying other context — the specific application affected, the affected business unit, the priority driver — that context belongs on a different field, not embedded in the taxonomy.</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For each category, can you state in one sentence what routing decision it drives?</w:t>
      </w:r>
    </w:p>
    <w:p>
      <w:pPr>
        <w:pStyle w:val="ListBullet"/>
        <w:spacing w:after="40"/>
        <w:ind w:left="360"/>
      </w:pPr>
      <w:r>
        <w:rPr>
          <w:rFonts w:ascii="Calibri" w:hAnsi="Calibri"/>
          <w:sz w:val="22"/>
        </w:rPr>
        <w:t>Are there categories that are really CI types or application names rather than service domains?</w:t>
      </w:r>
    </w:p>
    <w:p>
      <w:pPr>
        <w:pStyle w:val="ListBullet"/>
        <w:spacing w:after="40"/>
        <w:ind w:left="360"/>
      </w:pPr>
      <w:r>
        <w:rPr>
          <w:rFonts w:ascii="Calibri" w:hAnsi="Calibri"/>
          <w:sz w:val="22"/>
        </w:rPr>
        <w:t>Are there subcategories that encode urgency or business impact rather than work type?</w:t>
      </w:r>
    </w:p>
    <w:p>
      <w:pPr>
        <w:spacing w:after="160" w:before="80"/>
      </w:pPr>
      <w:r>
        <w:rPr>
          <w:rFonts w:ascii="Calibri" w:hAnsi="Calibri"/>
          <w:i/>
          <w:color w:val="1A1A1A"/>
          <w:sz w:val="22"/>
        </w:rPr>
        <w:t>Clean definitions: Category = service domain / owning team. Subcategory = work type within that domain. Everything else belongs in a CI field, a custom attribute, or CSDM.</w:t>
      </w:r>
    </w:p>
    <w:p>
      <w:pPr>
        <w:pStyle w:val="Heading2"/>
      </w:pPr>
      <w:r>
        <w:t>Decision 3 — How does CSDM absorb what the taxonomy used to carry?</w:t>
      </w:r>
    </w:p>
    <w:p>
      <w:pPr>
        <w:spacing w:after="160" w:before="0"/>
      </w:pPr>
      <w:r>
        <w:rPr>
          <w:rFonts w:ascii="Calibri" w:hAnsi="Calibri"/>
          <w:color w:val="1A1A1A"/>
          <w:sz w:val="22"/>
        </w:rPr>
        <w:t>If your current category structure includes application names, business service names, or technology-stack identifiers, those are candidates for migration to CSDM data — specifically to the Business Application or Technical Service layer. This is the move that most enables taxonomy simplification: once CSDM carries service context, categories can return to being pure routing taxonomy.</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Which of your current categories are really application names (e.g., 'SAP', 'Salesforce')?</w:t>
      </w:r>
    </w:p>
    <w:p>
      <w:pPr>
        <w:pStyle w:val="ListBullet"/>
        <w:spacing w:after="40"/>
        <w:ind w:left="360"/>
      </w:pPr>
      <w:r>
        <w:rPr>
          <w:rFonts w:ascii="Calibri" w:hAnsi="Calibri"/>
          <w:sz w:val="22"/>
        </w:rPr>
        <w:t>Which are really business service names ('Payroll', 'HR Systems')?</w:t>
      </w:r>
    </w:p>
    <w:p>
      <w:pPr>
        <w:pStyle w:val="ListBullet"/>
        <w:spacing w:after="40"/>
        <w:ind w:left="360"/>
      </w:pPr>
      <w:r>
        <w:rPr>
          <w:rFonts w:ascii="Calibri" w:hAnsi="Calibri"/>
          <w:sz w:val="22"/>
        </w:rPr>
        <w:t>Do you have a CSDM configuration in flight, or is this being built concurrently?</w:t>
      </w:r>
    </w:p>
    <w:p>
      <w:pPr>
        <w:pStyle w:val="Heading2"/>
      </w:pPr>
      <w:r>
        <w:t>Decision 4 — How do you sustain the simplification over time?</w:t>
      </w:r>
    </w:p>
    <w:p>
      <w:pPr>
        <w:spacing w:after="160" w:before="0"/>
      </w:pPr>
      <w:r>
        <w:rPr>
          <w:rFonts w:ascii="Calibri" w:hAnsi="Calibri"/>
          <w:color w:val="1A1A1A"/>
          <w:sz w:val="22"/>
        </w:rPr>
        <w:t>Category taxonomies grow for a reason: new services get stood up and someone needs a place to put their tickets. Without a governance process, a simplified taxonomy will re-accumulate over 12–18 months. The workshop will define the governance model: who owns the taxonomy, what process approves a new category, and what triggers a periodic review.</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Who owns the category taxonomy today — and is that person empowered to reject additions?</w:t>
      </w:r>
    </w:p>
    <w:p>
      <w:pPr>
        <w:pStyle w:val="ListBullet"/>
        <w:spacing w:after="40"/>
        <w:ind w:left="360"/>
      </w:pPr>
      <w:r>
        <w:rPr>
          <w:rFonts w:ascii="Calibri" w:hAnsi="Calibri"/>
          <w:sz w:val="22"/>
        </w:rPr>
        <w:t>Is there a process for requesting a new category, or do they get added ad hoc?</w:t>
      </w:r>
    </w:p>
    <w:p>
      <w:pPr>
        <w:pStyle w:val="ListBullet"/>
        <w:spacing w:after="40"/>
        <w:ind w:left="360"/>
      </w:pPr>
      <w:r>
        <w:rPr>
          <w:rFonts w:ascii="Calibri" w:hAnsi="Calibri"/>
          <w:sz w:val="22"/>
        </w:rPr>
        <w:t>How frequently should the taxonomy be reviewed for unused entries?</w:t>
      </w:r>
    </w:p>
    <w:p>
      <w:pPr>
        <w:spacing w:after="160" w:before="80"/>
      </w:pPr>
      <w:r>
        <w:rPr>
          <w:rFonts w:ascii="Calibri" w:hAnsi="Calibri"/>
          <w:i/>
          <w:color w:val="1A1A1A"/>
          <w:sz w:val="22"/>
        </w:rPr>
        <w:t>Most organizations designate a Process Manager as taxonomy owner with a quarterly review cycle. New categories require a brief business case reviewed by the owner.</w:t>
      </w:r>
    </w:p>
    <w:p>
      <w:r>
        <w:br w:type="page"/>
      </w:r>
    </w:p>
    <w:p>
      <w:pPr>
        <w:pStyle w:val="Heading1"/>
      </w:pPr>
      <w:r>
        <w:t>4.  What Good Looks Like</w:t>
      </w:r>
    </w:p>
    <w:p>
      <w:pPr>
        <w:spacing w:after="160" w:before="0"/>
      </w:pPr>
      <w:r>
        <w:rPr>
          <w:rFonts w:ascii="Calibri" w:hAnsi="Calibri"/>
          <w:color w:val="1A1A1A"/>
          <w:sz w:val="22"/>
        </w:rPr>
        <w:t>Good is not a single configuration. It is a set of properties that, together, signal a healthy and sustainable design. The table below contrasts what we aim for with the warning signs that suggest a design needs revisiting.</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good looks like</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Warning sign</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Two-level structure with clear, distinct categories</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Three or more levels with ambiguous boundaries between them</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Category names reflect service domains and owning teams</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Category names reflect application names, technology stacks, or business units</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Agents agree on category assignment for the same issue type</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Agents categorize the same issue differently depending on who handles it</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Unused categories retired on a regular schedule</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Long tail of categories with zero or near-zero volume carried indefinitely</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New category requests go through a defined approval process</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Categories added ad hoc by anyone with access to the configuration</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Subcategory options are consistent and not context-dependent</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Subcategory options change based on upstream selections in complex ways</w:t>
            </w:r>
          </w:p>
        </w:tc>
      </w:tr>
    </w:tbl>
    <w:p>
      <w:pPr>
        <w:spacing w:after="40"/>
      </w:pPr>
    </w:p>
    <w:p>
      <w:pPr>
        <w:pStyle w:val="Heading1"/>
      </w:pPr>
      <w:r>
        <w:t>5.  Common Patterns We Have Seen</w:t>
      </w:r>
    </w:p>
    <w:p>
      <w:pPr>
        <w:spacing w:after="160" w:before="0"/>
      </w:pPr>
      <w:r>
        <w:rPr>
          <w:rFonts w:ascii="Calibri" w:hAnsi="Calibri"/>
          <w:color w:val="1A1A1A"/>
          <w:sz w:val="22"/>
        </w:rPr>
        <w:t>These de-identified examples illustrate how different organizations have approached this set of decisions. Names and identifying details have been changed.</w:t>
      </w:r>
    </w:p>
    <w:p>
      <w:pPr>
        <w:pStyle w:val="Heading2"/>
      </w:pPr>
      <w:r>
        <w:t>Pattern A — Federal agency with 340-category legacy taxonomy</w:t>
      </w:r>
    </w:p>
    <w:p>
      <w:pPr>
        <w:spacing w:after="160" w:before="0"/>
      </w:pPr>
      <w:r>
        <w:rPr>
          <w:rFonts w:ascii="Calibri" w:hAnsi="Calibri"/>
          <w:color w:val="1A1A1A"/>
          <w:sz w:val="22"/>
        </w:rPr>
        <w:t>An agency carried a 340-category, four-level taxonomy from a legacy ITSM tool. Sixty percent of categories had fewer than 10 tickets in the prior year. Working through the four-decision framework, they identified that 180 of the 340 categories were application names that belonged in their CMDB Application CI class. After removing those and consolidating near-synonyms, the taxonomy reduced to 42 categories across two levels. Predictive Intelligence accuracy improved from 61% to 84% in the first three months after go-live on the simplified taxonomy.</w:t>
      </w:r>
    </w:p>
    <w:p>
      <w:pPr>
        <w:pStyle w:val="Heading2"/>
      </w:pPr>
      <w:r>
        <w:t>Pattern B — Healthcare system adding a third routing level</w:t>
      </w:r>
    </w:p>
    <w:p>
      <w:pPr>
        <w:spacing w:after="160" w:before="0"/>
      </w:pPr>
      <w:r>
        <w:rPr>
          <w:rFonts w:ascii="Calibri" w:hAnsi="Calibri"/>
          <w:color w:val="1A1A1A"/>
          <w:sz w:val="22"/>
        </w:rPr>
        <w:t>A healthcare IT organization initially designed a three-level taxonomy to distinguish clinical systems incidents from administrative systems incidents within each service domain. After building the CMDB with clinical vs. administrative CI classification, they realized the third level was redundant — the CI classification carried the distinction they needed. They simplified to two levels and retained the clinical/administrative distinction through CI data rather than category structure.</w:t>
      </w:r>
    </w:p>
    <w:p>
      <w:pPr>
        <w:pStyle w:val="Heading2"/>
      </w:pPr>
      <w:r>
        <w:t>Pattern C — Higher education adopting CSDM-first sequencing</w:t>
      </w:r>
    </w:p>
    <w:p>
      <w:pPr>
        <w:spacing w:after="160" w:before="0"/>
      </w:pPr>
      <w:r>
        <w:rPr>
          <w:rFonts w:ascii="Calibri" w:hAnsi="Calibri"/>
          <w:color w:val="1A1A1A"/>
          <w:sz w:val="22"/>
        </w:rPr>
        <w:t>A university delayed category simplification until their CSDM Business Application mapping was partially complete. This sequencing worked well: by the time they simplified categories, they had a clear view of which category entries were application names (which migrated to CSDM) and which were genuine service domains (which became categories). The result was a 28-category taxonomy built on a clean foundation rather than a simplified taxonomy that would need revisiting when CSDM arrived.</w:t>
      </w:r>
    </w:p>
    <w:p>
      <w:r>
        <w:br w:type="page"/>
      </w:r>
    </w:p>
    <w:p>
      <w:pPr>
        <w:pStyle w:val="Heading1"/>
      </w:pPr>
      <w:r>
        <w:t>6.  How We Will Workshop This Together</w:t>
      </w:r>
    </w:p>
    <w:p>
      <w:pPr>
        <w:spacing w:after="160" w:before="0"/>
      </w:pPr>
      <w:r>
        <w:rPr>
          <w:rFonts w:ascii="Calibri" w:hAnsi="Calibri"/>
          <w:color w:val="1A1A1A"/>
          <w:sz w:val="22"/>
        </w:rPr>
        <w:t>In the workshop, we will start by pulling your current category volume report and walking through it together. We will identify the long tail, the near-synonyms, and the categories that are carrying context that belongs elsewhere. From there, we will draft the target taxonomy on a whiteboard — working through the four decisions in sequence. By the end of the session, you will have a draft two-level taxonomy, a mapping from legacy categories to new ones, and a set of open items for teams whose categories need a separate conversation.</w:t>
      </w:r>
    </w:p>
    <w:p>
      <w:pPr>
        <w:pStyle w:val="Heading1"/>
      </w:pPr>
      <w:r>
        <w:t>7.  What We Will Need from Your Team</w:t>
      </w:r>
    </w:p>
    <w:p>
      <w:pPr>
        <w:spacing w:after="160" w:before="0"/>
      </w:pPr>
      <w:r>
        <w:rPr>
          <w:rFonts w:ascii="Calibri" w:hAnsi="Calibri"/>
          <w:color w:val="1A1A1A"/>
          <w:sz w:val="22"/>
        </w:rPr>
        <w:t>You do not need to prepare formal reports or pull data from every system. The items below help us move faster and surface the right context in the workshop.</w:t>
      </w:r>
    </w:p>
    <w:p>
      <w:pPr>
        <w:pStyle w:val="ListBullet"/>
        <w:spacing w:after="40"/>
        <w:ind w:left="360"/>
      </w:pPr>
      <w:r>
        <w:rPr>
          <w:rFonts w:ascii="Calibri" w:hAnsi="Calibri"/>
          <w:sz w:val="22"/>
        </w:rPr>
        <w:t>Category and subcategory volume report from your current tool — incidents by category for the last 12 months</w:t>
      </w:r>
    </w:p>
    <w:p>
      <w:pPr>
        <w:pStyle w:val="ListBullet"/>
        <w:spacing w:after="40"/>
        <w:ind w:left="360"/>
      </w:pPr>
      <w:r>
        <w:rPr>
          <w:rFonts w:ascii="Calibri" w:hAnsi="Calibri"/>
          <w:sz w:val="22"/>
        </w:rPr>
        <w:t>Current category list (export or screenshot) with any dependent subcategory logic documented</w:t>
      </w:r>
    </w:p>
    <w:p>
      <w:pPr>
        <w:pStyle w:val="ListBullet"/>
        <w:spacing w:after="40"/>
        <w:ind w:left="360"/>
      </w:pPr>
      <w:r>
        <w:rPr>
          <w:rFonts w:ascii="Calibri" w:hAnsi="Calibri"/>
          <w:sz w:val="22"/>
        </w:rPr>
        <w:t>Assignment group mapping — which categories currently route to which teams</w:t>
      </w:r>
    </w:p>
    <w:p>
      <w:pPr>
        <w:pStyle w:val="ListBullet"/>
        <w:spacing w:after="40"/>
        <w:ind w:left="360"/>
      </w:pPr>
      <w:r>
        <w:rPr>
          <w:rFonts w:ascii="Calibri" w:hAnsi="Calibri"/>
          <w:sz w:val="22"/>
        </w:rPr>
        <w:t>CSDM status — whether Business Application or Technical Service data is in flight or planned</w:t>
      </w:r>
    </w:p>
    <w:p>
      <w:pPr>
        <w:pStyle w:val="Heading1"/>
      </w:pPr>
      <w:r>
        <w:t>8.  Questions to Consider Before Our Session</w:t>
      </w:r>
    </w:p>
    <w:p>
      <w:pPr>
        <w:spacing w:after="160" w:before="0"/>
      </w:pPr>
      <w:r>
        <w:rPr>
          <w:rFonts w:ascii="Calibri" w:hAnsi="Calibri"/>
          <w:color w:val="1A1A1A"/>
          <w:sz w:val="22"/>
        </w:rPr>
        <w:t>Bring whatever you have. These are prompts for reflection, not prerequisites. The workshop is where we work through the answers together.</w:t>
      </w:r>
    </w:p>
    <w:p>
      <w:pPr>
        <w:pStyle w:val="ListBullet"/>
        <w:spacing w:after="40"/>
        <w:ind w:left="360"/>
      </w:pPr>
      <w:r>
        <w:rPr>
          <w:rFonts w:ascii="Calibri" w:hAnsi="Calibri"/>
          <w:sz w:val="22"/>
        </w:rPr>
        <w:t>How many categories does your current system have? Have you ever pulled a volume report by category?</w:t>
      </w:r>
    </w:p>
    <w:p>
      <w:pPr>
        <w:pStyle w:val="ListBullet"/>
        <w:spacing w:after="40"/>
        <w:ind w:left="360"/>
      </w:pPr>
      <w:r>
        <w:rPr>
          <w:rFonts w:ascii="Calibri" w:hAnsi="Calibri"/>
          <w:sz w:val="22"/>
        </w:rPr>
        <w:t>Are there categories that you already know are redundant or unused?</w:t>
      </w:r>
    </w:p>
    <w:p>
      <w:pPr>
        <w:pStyle w:val="ListBullet"/>
        <w:spacing w:after="40"/>
        <w:ind w:left="360"/>
      </w:pPr>
      <w:r>
        <w:rPr>
          <w:rFonts w:ascii="Calibri" w:hAnsi="Calibri"/>
          <w:sz w:val="22"/>
        </w:rPr>
        <w:t>Which teams would need to be involved in approving a taxonomy change that affects their routing?</w:t>
      </w:r>
    </w:p>
    <w:p>
      <w:pPr>
        <w:pStyle w:val="ListBullet"/>
        <w:spacing w:after="40"/>
        <w:ind w:left="360"/>
      </w:pPr>
      <w:r>
        <w:rPr>
          <w:rFonts w:ascii="Calibri" w:hAnsi="Calibri"/>
          <w:sz w:val="22"/>
        </w:rPr>
        <w:t>Is there a service catalog rationalization happening in parallel that will affect category design?</w:t>
      </w:r>
    </w:p>
    <w:p>
      <w:pPr>
        <w:pStyle w:val="ListBullet"/>
        <w:spacing w:after="40"/>
        <w:ind w:left="360"/>
      </w:pPr>
      <w:r>
        <w:rPr>
          <w:rFonts w:ascii="Calibri" w:hAnsi="Calibri"/>
          <w:sz w:val="22"/>
        </w:rPr>
        <w:t>Who has the authority to retire a category that is no longer needed?</w:t>
      </w:r>
    </w:p>
    <w:p>
      <w:pPr>
        <w:pStyle w:val="Heading1"/>
      </w:pPr>
      <w:r>
        <w:t>9.  Cross-References and Next Steps</w:t>
      </w:r>
    </w:p>
    <w:p>
      <w:pPr>
        <w:spacing w:after="160" w:before="0"/>
      </w:pPr>
      <w:r>
        <w:rPr>
          <w:rFonts w:ascii="Calibri" w:hAnsi="Calibri"/>
          <w:color w:val="1A1A1A"/>
          <w:sz w:val="22"/>
        </w:rPr>
        <w:t>This guide sits within a broader set of client materials. The table below identifies the most relevant companions.</w:t>
      </w:r>
    </w:p>
    <w:tbl>
      <w:tblPr>
        <w:tblW w:type="auto" w:w="0"/>
        <w:jc w:val="left"/>
        <w:tblLook w:firstColumn="1" w:firstRow="1" w:lastColumn="0" w:lastRow="0" w:noHBand="0" w:noVBand="1" w:val="04A0"/>
      </w:tblPr>
      <w:tblGrid>
        <w:gridCol w:w="3120"/>
        <w:gridCol w:w="3120"/>
        <w:gridCol w:w="312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Why relevant</w:t>
            </w:r>
          </w:p>
        </w:tc>
        <w:tc>
          <w:tcPr>
            <w:tcW w:type="dxa" w:w="296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Where to find it</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Catalog Item Rationalization Decision Guide</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Companion guide — catalog rationalization and category simplification are designed together</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02_Client/04_Decision_Topic_Guides/</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Workshop Pre-Read: Category Structure</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15-minute background read for workshop participants</w:t>
            </w:r>
          </w:p>
        </w:tc>
        <w:tc>
          <w:tcPr>
            <w:tcW w:type="dxa" w:w="296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02_Client/05_Workshop_Pre-Reads/</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CSDM Workshop Pre-Read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Explains how CSDM absorbs service context that currently lives in category fields</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02_Client/05_Workshop_Pre-Reads/</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Predictive Intelligence Pre-Read</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Explains why category data quality is the AI training data quality ceiling</w:t>
            </w:r>
          </w:p>
        </w:tc>
        <w:tc>
          <w:tcPr>
            <w:tcW w:type="dxa" w:w="296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02_Client/05_Workshop_Pre-Reads/</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Decision Topic Guide  ·  Category Structure Simplification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