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CUSTOM VS. OOTB</w:t>
      </w:r>
    </w:p>
    <w:p>
      <w:pPr>
        <w:spacing w:before="0" w:after="40"/>
      </w:pPr>
      <w:r>
        <w:rPr>
          <w:rFonts w:ascii="Calibri" w:hAnsi="Calibri"/>
          <w:b/>
          <w:color w:val="0B1F3A"/>
          <w:sz w:val="56"/>
        </w:rPr>
        <w:t>Custom vs. OOTB</w:t>
      </w:r>
    </w:p>
    <w:p>
      <w:pPr>
        <w:spacing w:before="0" w:after="40"/>
      </w:pPr>
      <w:r>
        <w:rPr>
          <w:rFonts w:ascii="Calibri" w:hAnsi="Calibri"/>
          <w:b/>
          <w:color w:val="0B1F3A"/>
          <w:sz w:val="56"/>
        </w:rPr>
        <w:t>Decision Framework</w:t>
      </w:r>
    </w:p>
    <w:p>
      <w:pPr>
        <w:spacing w:before="120" w:after="400"/>
      </w:pPr>
      <w:r>
        <w:rPr>
          <w:rFonts w:ascii="Calibri" w:hAnsi="Calibri"/>
          <w:i/>
          <w:color w:val="0D9488"/>
          <w:sz w:val="24"/>
        </w:rPr>
        <w:t>A customer-facing guide to understanding how customization decisions are made — and why the default is always the platform</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Project Sponsors, IT Leadership, Process Owners, Service Owners, Change Advisory Board</w:t>
      </w:r>
    </w:p>
    <w:p>
      <w:pPr>
        <w:spacing w:after="40"/>
      </w:pPr>
      <w:r>
        <w:rPr>
          <w:rFonts w:ascii="Calibri" w:hAnsi="Calibri"/>
          <w:b w:val="0"/>
          <w:i w:val="0"/>
          <w:color w:val="475569"/>
          <w:sz w:val="20"/>
        </w:rPr>
        <w:t>Companion to: 18-Week OOTB-First Journey Overview · Technical Debt Elimination Roadmap</w:t>
      </w:r>
    </w:p>
    <w:p>
      <w:pPr>
        <w:spacing w:after="80"/>
      </w:pPr>
      <w:r>
        <w:rPr>
          <w:rFonts w:ascii="Calibri" w:hAnsi="Calibri"/>
          <w:b w:val="0"/>
          <w:i w:val="0"/>
          <w:color w:val="475569"/>
          <w:sz w:val="20"/>
        </w:rPr>
        <w:t>Document ID: CLT-DT-13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At some point in the engagement, your team will encounter a requirement that the ServiceNow out-of-the-box configuration does not address exactly as described. This is a normal part of every implementation. What distinguishes this engagement from a conventional implementation is how those moments are handled — and this guide gives you the framework your team and ours will use when they arise.</w:t>
      </w:r>
    </w:p>
    <w:p>
      <w:pPr>
        <w:spacing w:after="160" w:before="0"/>
      </w:pPr>
      <w:r>
        <w:rPr>
          <w:rFonts w:ascii="Calibri" w:hAnsi="Calibri"/>
          <w:color w:val="1A1A1A"/>
          <w:sz w:val="22"/>
        </w:rPr>
        <w:t>The framework is not a prohibition on customization. It is a structured way of ensuring that every customization decision is deliberate, documented, and made with full awareness of the long-term cost it carries. Some requirements genuinely require customization. Many that initially appear to require it do not — they can be met by the OOTB platform when the requirement is examined more carefully.</w:t>
      </w:r>
    </w:p>
    <w:p>
      <w:pPr>
        <w:spacing w:after="160" w:before="0"/>
      </w:pPr>
      <w:r>
        <w:rPr>
          <w:rFonts w:ascii="Calibri" w:hAnsi="Calibri"/>
          <w:color w:val="1A1A1A"/>
          <w:sz w:val="22"/>
        </w:rPr>
        <w:t>Understanding this framework before the workshops begin means your team can participate in the decision as a full partner — not as someone receiving a recommendation they do not have context to evaluate.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Custom vs. OOTB Matters Now</w:t>
      </w:r>
    </w:p>
    <w:p>
      <w:pPr>
        <w:pStyle w:val="Heading2"/>
      </w:pPr>
      <w:r>
        <w:t>Every customization is a liability, not just an asset</w:t>
      </w:r>
    </w:p>
    <w:p>
      <w:pPr>
        <w:spacing w:after="160" w:before="0"/>
      </w:pPr>
      <w:r>
        <w:rPr>
          <w:rFonts w:ascii="Calibri" w:hAnsi="Calibri"/>
          <w:color w:val="1A1A1A"/>
          <w:sz w:val="22"/>
        </w:rPr>
        <w:t>Customization delivers a capability. It also creates a maintenance obligation: the customization must be tested with every ServiceNow upgrade, maintained when business requirements change, and documented so future team members can understand it. An organization with 500 customizations has 500 maintenance obligations. An organization with 50 has 50. The difference compounds across every upgrade cycle and every personnel change.</w:t>
      </w:r>
    </w:p>
    <w:p>
      <w:pPr>
        <w:pStyle w:val="Heading2"/>
      </w:pPr>
      <w:r>
        <w:t>OOTB capabilities evolve — customizations do not</w:t>
      </w:r>
    </w:p>
    <w:p>
      <w:pPr>
        <w:spacing w:after="160" w:before="0"/>
      </w:pPr>
      <w:r>
        <w:rPr>
          <w:rFonts w:ascii="Calibri" w:hAnsi="Calibri"/>
          <w:color w:val="1A1A1A"/>
          <w:sz w:val="22"/>
        </w:rPr>
        <w:t>ServiceNow releases new platform capabilities three times per year. OOTB configurations receive those capabilities automatically. Customizations either block the new capability from activating, require code changes to accommodate it, or are rendered redundant when the OOTB platform catches up. Every customization is a bet that the capability gap it addresses will not be closed by the platform in the next 12–18 months. That bet has a poor historical track record.</w:t>
      </w:r>
    </w:p>
    <w:p>
      <w:pPr>
        <w:pStyle w:val="Heading2"/>
      </w:pPr>
      <w:r>
        <w:t>The Governance Triage Log captures requirements that are not lost</w:t>
      </w:r>
    </w:p>
    <w:p>
      <w:pPr>
        <w:spacing w:after="160" w:before="0"/>
      </w:pPr>
      <w:r>
        <w:rPr>
          <w:rFonts w:ascii="Calibri" w:hAnsi="Calibri"/>
          <w:color w:val="1A1A1A"/>
          <w:sz w:val="22"/>
        </w:rPr>
        <w:t>Requirements that do not meet the customization threshold are not discarded — they are entered into the Governance Triage Log. The log ensures that legitimate business requirements that do not warrant customization today have a documented home and a path to resolution in a future phase. No business requirement is ignored. Some are deferred with documented reasoning.</w:t>
      </w:r>
    </w:p>
    <w:p>
      <w:r>
        <w:br w:type="page"/>
      </w:r>
    </w:p>
    <w:p>
      <w:pPr>
        <w:pStyle w:val="Heading1"/>
      </w:pPr>
      <w:r>
        <w:t>2.  The Signals That your approach to customization decisions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Customization requests are increasing as the engagement progresses</w:t>
      </w:r>
    </w:p>
    <w:p>
      <w:pPr>
        <w:spacing w:after="160" w:before="0"/>
      </w:pPr>
      <w:r>
        <w:rPr>
          <w:rFonts w:ascii="Calibri" w:hAnsi="Calibri"/>
          <w:color w:val="1A1A1A"/>
          <w:sz w:val="22"/>
        </w:rPr>
        <w:t>A gradual increase in customization requests across sprint reviews is a normal pattern — requirements become more specific as the platform becomes more real. An accelerating increase, however, is a signal that requirements are not being challenged against OOTB capabilities early enough, or that the initial discovery process did not surface the full requirement set.</w:t>
      </w:r>
    </w:p>
    <w:p>
      <w:pPr>
        <w:pStyle w:val="Heading2"/>
      </w:pPr>
      <w:r>
        <w:t>Customization decisions are made informally without documentation</w:t>
      </w:r>
    </w:p>
    <w:p>
      <w:pPr>
        <w:spacing w:after="160" w:before="0"/>
      </w:pPr>
      <w:r>
        <w:rPr>
          <w:rFonts w:ascii="Calibri" w:hAnsi="Calibri"/>
          <w:color w:val="1A1A1A"/>
          <w:sz w:val="22"/>
        </w:rPr>
        <w:t>When customization decisions are made in meetings without a formal record, two things happen: the reasoning is lost (future team members do not know why the customization exists) and accountability is diffused (no one owns the decision). The customization council and triage log exist to prevent both.</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Is the requirement a genuine gap or a preference?</w:t>
      </w:r>
    </w:p>
    <w:p>
      <w:pPr>
        <w:spacing w:after="160" w:before="0"/>
      </w:pPr>
      <w:r>
        <w:rPr>
          <w:rFonts w:ascii="Calibri" w:hAnsi="Calibri"/>
          <w:color w:val="1A1A1A"/>
          <w:sz w:val="22"/>
        </w:rPr>
        <w:t>The first question for any customization request is: is the OOTB platform genuinely incapable of meeting this requirement, or is the OOTB capability simply different from how the team has done things before? Preference-based customization — 'we prefer the old interface,' 'we are used to this field being here' — is the largest driver of unnecessary customization. It is also the most socially difficult category to address, because the preference is real even when the gap is not.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Can the OOTB platform meet the underlying business need, even if the approach differs?</w:t>
      </w:r>
    </w:p>
    <w:p>
      <w:pPr>
        <w:pStyle w:val="ListBullet"/>
        <w:spacing w:after="40"/>
        <w:ind w:left="360"/>
      </w:pPr>
      <w:r>
        <w:rPr>
          <w:rFonts w:ascii="Calibri" w:hAnsi="Calibri"/>
          <w:sz w:val="22"/>
        </w:rPr>
        <w:t>Has the team seen the OOTB capability demonstrated — or is the gap assumption based on the current tool?</w:t>
      </w:r>
    </w:p>
    <w:p>
      <w:pPr>
        <w:pStyle w:val="ListBullet"/>
        <w:spacing w:after="40"/>
        <w:ind w:left="360"/>
      </w:pPr>
      <w:r>
        <w:rPr>
          <w:rFonts w:ascii="Calibri" w:hAnsi="Calibri"/>
          <w:sz w:val="22"/>
        </w:rPr>
        <w:t>Would the preference require customization, or can it be addressed through configuration?</w:t>
      </w:r>
    </w:p>
    <w:p>
      <w:pPr>
        <w:spacing w:after="160" w:before="80"/>
      </w:pPr>
      <w:r>
        <w:rPr>
          <w:rFonts w:ascii="Calibri" w:hAnsi="Calibri"/>
          <w:i/>
          <w:color w:val="1A1A1A"/>
          <w:sz w:val="22"/>
        </w:rPr>
        <w:t>Configuration (changing field values, adjusting workflows, modifying layouts) is always the first option. Customization (modifying platform code or schema) is the last resort.</w:t>
      </w:r>
    </w:p>
    <w:p>
      <w:pPr>
        <w:pStyle w:val="Heading2"/>
      </w:pPr>
      <w:r>
        <w:t>Decision 2 — If a genuine gap, what is the total cost of customization?</w:t>
      </w:r>
    </w:p>
    <w:p>
      <w:pPr>
        <w:spacing w:after="160" w:before="0"/>
      </w:pPr>
      <w:r>
        <w:rPr>
          <w:rFonts w:ascii="Calibri" w:hAnsi="Calibri"/>
          <w:color w:val="1A1A1A"/>
          <w:sz w:val="22"/>
        </w:rPr>
        <w:t>When a requirement genuinely cannot be met by OOTB configuration, the customization decision requires a full cost assessment: initial development cost, testing cost per upgrade cycle, documentation cost, and the opportunity cost of the developer time not spent on other work. The comparison is between the cost of the customization and the cost of adapting the business process to the OOTB capability.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is the estimated development and testing effort for this customization?</w:t>
      </w:r>
    </w:p>
    <w:p>
      <w:pPr>
        <w:pStyle w:val="ListBullet"/>
        <w:spacing w:after="40"/>
        <w:ind w:left="360"/>
      </w:pPr>
      <w:r>
        <w:rPr>
          <w:rFonts w:ascii="Calibri" w:hAnsi="Calibri"/>
          <w:sz w:val="22"/>
        </w:rPr>
        <w:t>How many ServiceNow upgrades will this customization require testing across its lifetime?</w:t>
      </w:r>
    </w:p>
    <w:p>
      <w:pPr>
        <w:pStyle w:val="ListBullet"/>
        <w:spacing w:after="40"/>
        <w:ind w:left="360"/>
      </w:pPr>
      <w:r>
        <w:rPr>
          <w:rFonts w:ascii="Calibri" w:hAnsi="Calibri"/>
          <w:sz w:val="22"/>
        </w:rPr>
        <w:t>What is the business cost of adopting the OOTB approach — retraining, process change, or genuinely missing capability?</w:t>
      </w:r>
    </w:p>
    <w:p>
      <w:pPr>
        <w:pStyle w:val="Heading2"/>
      </w:pPr>
      <w:r>
        <w:t>Decision 3 — Who has authority to approve a customization?</w:t>
      </w:r>
    </w:p>
    <w:p>
      <w:pPr>
        <w:spacing w:after="160" w:before="0"/>
      </w:pPr>
      <w:r>
        <w:rPr>
          <w:rFonts w:ascii="Calibri" w:hAnsi="Calibri"/>
          <w:color w:val="1A1A1A"/>
          <w:sz w:val="22"/>
        </w:rPr>
        <w:t>Customization approvals require a named decision-maker with authority to commit the associated maintenance obligation on behalf of the organization. In this engagement, that authority sits with the Customization Council — a standing group that reviews customization requests against the OOTB-first criteria and approves, defers, or rejects them with documented reasoning.</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are the Customization Council members for this engagement?</w:t>
      </w:r>
    </w:p>
    <w:p>
      <w:pPr>
        <w:pStyle w:val="ListBullet"/>
        <w:spacing w:after="40"/>
        <w:ind w:left="360"/>
      </w:pPr>
      <w:r>
        <w:rPr>
          <w:rFonts w:ascii="Calibri" w:hAnsi="Calibri"/>
          <w:sz w:val="22"/>
        </w:rPr>
        <w:t>What is the review cadence — how quickly can a customization request receive a decision?</w:t>
      </w:r>
    </w:p>
    <w:p>
      <w:pPr>
        <w:pStyle w:val="ListBullet"/>
        <w:spacing w:after="40"/>
        <w:ind w:left="360"/>
      </w:pPr>
      <w:r>
        <w:rPr>
          <w:rFonts w:ascii="Calibri" w:hAnsi="Calibri"/>
          <w:sz w:val="22"/>
        </w:rPr>
        <w:t>Is there a fast-track process for urgent customization requests?</w:t>
      </w:r>
    </w:p>
    <w:p>
      <w:pPr>
        <w:pStyle w:val="Heading2"/>
      </w:pPr>
      <w:r>
        <w:t>Decision 4 — How will deferred requirements be managed in the Governance Triage Log?</w:t>
      </w:r>
    </w:p>
    <w:p>
      <w:pPr>
        <w:spacing w:after="160" w:before="0"/>
      </w:pPr>
      <w:r>
        <w:rPr>
          <w:rFonts w:ascii="Calibri" w:hAnsi="Calibri"/>
          <w:color w:val="1A1A1A"/>
          <w:sz w:val="22"/>
        </w:rPr>
        <w:t>Requirements that are deferred — not customized now, but not permanently excluded — are entered in the Governance Triage Log with the original requirement, the deferral reasoning, and a review trigger (e.g., 'revisit if this requirement affects more than 50 users' or 'revisit in Phase 2 when CSDM data is mature'). The log is reviewed quarterly.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owns the Governance Triage Log — the ECS engagement manager, the customer process owner?</w:t>
      </w:r>
    </w:p>
    <w:p>
      <w:pPr>
        <w:pStyle w:val="ListBullet"/>
        <w:spacing w:after="40"/>
        <w:ind w:left="360"/>
      </w:pPr>
      <w:r>
        <w:rPr>
          <w:rFonts w:ascii="Calibri" w:hAnsi="Calibri"/>
          <w:sz w:val="22"/>
        </w:rPr>
        <w:t>How frequently will the log be reviewed with the steering committee?</w:t>
      </w:r>
    </w:p>
    <w:p>
      <w:pPr>
        <w:pStyle w:val="ListBullet"/>
        <w:spacing w:after="40"/>
        <w:ind w:left="360"/>
      </w:pPr>
      <w:r>
        <w:rPr>
          <w:rFonts w:ascii="Calibri" w:hAnsi="Calibri"/>
          <w:sz w:val="22"/>
        </w:rPr>
        <w:t>What criteria trigger a deferred item being promoted to active consideration?</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customization decision documented with business requirement, cost assessment, and approver</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Customizations added informally without documentation or approval record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demonstration precedes every customization discussion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requested before OOTB capability has been shown to the stakeholder</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Triage Log maintained and reviewed quarterly</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Requirements not meeting customization criteria are simply dropped with no tracking</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count tracked as an engagement health metric</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volume not monitored — scope creep is invisible until the backlog is full</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distinguished from customization — each treated with appropriate governance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platform changes treated identically — no distinction between configuration and code modification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reviews requests within a defined SLA</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requests queue without a decision process — delay accumulates</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OOTB demonstration resolving 70% of customization requests</w:t>
      </w:r>
    </w:p>
    <w:p>
      <w:pPr>
        <w:spacing w:after="160" w:before="0"/>
      </w:pPr>
      <w:r>
        <w:rPr>
          <w:rFonts w:ascii="Calibri" w:hAnsi="Calibri"/>
          <w:color w:val="1A1A1A"/>
          <w:sz w:val="22"/>
        </w:rPr>
        <w:t>A federal agency entered Sprint 1 with 22 customization requests in the backlog. ECS ran a structured OOTB demonstration for each request: showing the stakeholder how the OOTB platform addressed their underlying requirement, even if the approach differed from the legacy system. After demonstrations, 15 of the 22 requests were withdrawn — the stakeholders concluded the OOTB approach was acceptable. The remaining 7 went to the Customization Council, of which 4 were approved and 3 were deferred to Phase 2.</w:t>
      </w:r>
    </w:p>
    <w:p>
      <w:pPr>
        <w:pStyle w:val="Heading2"/>
      </w:pPr>
      <w:r>
        <w:t>Pattern B — Governance Triage Log as a steering committee standing item</w:t>
      </w:r>
    </w:p>
    <w:p>
      <w:pPr>
        <w:spacing w:after="160" w:before="0"/>
      </w:pPr>
      <w:r>
        <w:rPr>
          <w:rFonts w:ascii="Calibri" w:hAnsi="Calibri"/>
          <w:color w:val="1A1A1A"/>
          <w:sz w:val="22"/>
        </w:rPr>
        <w:t>A technology company added the Governance Triage Log as a standing agenda item at every steering committee meeting. Each session reviewed new log entries, confirmed deferral reasoning, and checked whether any deferred items had reached their review trigger. This practice kept the log visible and prevented the common failure mode where deferred requirements are forgotten and resurface as escalations late in the engagement.</w:t>
      </w:r>
    </w:p>
    <w:p>
      <w:pPr>
        <w:pStyle w:val="Heading2"/>
      </w:pPr>
      <w:r>
        <w:t>Pattern C — Phase 2 clearing 80% of the triage log</w:t>
      </w:r>
    </w:p>
    <w:p>
      <w:pPr>
        <w:spacing w:after="160" w:before="0"/>
      </w:pPr>
      <w:r>
        <w:rPr>
          <w:rFonts w:ascii="Calibri" w:hAnsi="Calibri"/>
          <w:color w:val="1A1A1A"/>
          <w:sz w:val="22"/>
        </w:rPr>
        <w:t>A healthcare organization entered Phase 2 with 18 items in the Governance Triage Log. Reviewing the log at Phase 2 kickoff, they found that 14 of the 18 requirements had been addressed by Phase 1 OOTB capabilities that stakeholders had not yet seen demonstrated. Three more were addressed by a ServiceNow platform update that had released in the interim. One required a Phase 2 customization — reviewed and approved by the council.</w:t>
      </w:r>
    </w:p>
    <w:p>
      <w:r>
        <w:br w:type="page"/>
      </w:r>
    </w:p>
    <w:p>
      <w:pPr>
        <w:pStyle w:val="Heading1"/>
      </w:pPr>
      <w:r>
        <w:t>6.  How We Will Workshop This Together</w:t>
      </w:r>
    </w:p>
    <w:p>
      <w:pPr>
        <w:spacing w:after="160" w:before="0"/>
      </w:pPr>
      <w:r>
        <w:rPr>
          <w:rFonts w:ascii="Calibri" w:hAnsi="Calibri"/>
          <w:color w:val="1A1A1A"/>
          <w:sz w:val="22"/>
        </w:rPr>
        <w:t>This is not a standalone workshop — the Custom-vs-OOTB framework applies continuously across all workshops. In Sprint 0, we will establish the Customization Council, define the decision criteria, and initialize the Governance Triage Log. In each subsequent sprint, requirements that surface as potential customization requests will be processed through the framework before any development work begins.</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List of requirements your team has already identified as 'probably needing customization' — the council will review these first</w:t>
      </w:r>
    </w:p>
    <w:p>
      <w:pPr>
        <w:pStyle w:val="ListBullet"/>
        <w:spacing w:after="40"/>
        <w:ind w:left="360"/>
      </w:pPr>
      <w:r>
        <w:rPr>
          <w:rFonts w:ascii="Calibri" w:hAnsi="Calibri"/>
          <w:sz w:val="22"/>
        </w:rPr>
        <w:t>Named Customization Council members (typically: IT leadership, process owner, ECS engagement manager)</w:t>
      </w:r>
    </w:p>
    <w:p>
      <w:pPr>
        <w:pStyle w:val="ListBullet"/>
        <w:spacing w:after="40"/>
        <w:ind w:left="360"/>
      </w:pPr>
      <w:r>
        <w:rPr>
          <w:rFonts w:ascii="Calibri" w:hAnsi="Calibri"/>
          <w:sz w:val="22"/>
        </w:rPr>
        <w:t>Existing customization inventory from your current ServiceNow environment (if one exists)</w:t>
      </w:r>
    </w:p>
    <w:p>
      <w:pPr>
        <w:pStyle w:val="ListBullet"/>
        <w:spacing w:after="40"/>
        <w:ind w:left="360"/>
      </w:pPr>
      <w:r>
        <w:rPr>
          <w:rFonts w:ascii="Calibri" w:hAnsi="Calibri"/>
          <w:sz w:val="22"/>
        </w:rPr>
        <w:t>Any requirements derived from contractual or compliance obligations that might be non-negotiable</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Are there requirements you have already identified that you believe require customization?</w:t>
      </w:r>
    </w:p>
    <w:p>
      <w:pPr>
        <w:pStyle w:val="ListBullet"/>
        <w:spacing w:after="40"/>
        <w:ind w:left="360"/>
      </w:pPr>
      <w:r>
        <w:rPr>
          <w:rFonts w:ascii="Calibri" w:hAnsi="Calibri"/>
          <w:sz w:val="22"/>
        </w:rPr>
        <w:t>Who in your organization has authority to approve a customization decision?</w:t>
      </w:r>
    </w:p>
    <w:p>
      <w:pPr>
        <w:pStyle w:val="ListBullet"/>
        <w:spacing w:after="40"/>
        <w:ind w:left="360"/>
      </w:pPr>
      <w:r>
        <w:rPr>
          <w:rFonts w:ascii="Calibri" w:hAnsi="Calibri"/>
          <w:sz w:val="22"/>
        </w:rPr>
        <w:t>Do you have an existing ServiceNow environment with customizations that will carry forward?</w:t>
      </w:r>
    </w:p>
    <w:p>
      <w:pPr>
        <w:pStyle w:val="ListBullet"/>
        <w:spacing w:after="40"/>
        <w:ind w:left="360"/>
      </w:pPr>
      <w:r>
        <w:rPr>
          <w:rFonts w:ascii="Calibri" w:hAnsi="Calibri"/>
          <w:sz w:val="22"/>
        </w:rPr>
        <w:t>Are there business processes that you believe cannot change to accommodate OOTB — and why?</w:t>
      </w:r>
    </w:p>
    <w:p>
      <w:pPr>
        <w:pStyle w:val="ListBullet"/>
        <w:spacing w:after="40"/>
        <w:ind w:left="360"/>
      </w:pPr>
      <w:r>
        <w:rPr>
          <w:rFonts w:ascii="Calibri" w:hAnsi="Calibri"/>
          <w:sz w:val="22"/>
        </w:rPr>
        <w:t>What is your organization's history with software customization — has technical debt been a problem before?</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18-Week OOTB-First Journey Overview Deck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engagement model that this framework supports — shared in the kickoff briefing</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02_Client/01_Engagement_Overview/</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Debt Elimination Roadmap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forward-looking companion — how to address existing customization debt</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Management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governance model connects to customization council governance</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Custom vs. OOTB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