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DECISION TOPIC GUIDE  ·  KNOWLEDGE ARTICLE CURATION</w:t>
      </w:r>
    </w:p>
    <w:p>
      <w:pPr>
        <w:spacing w:before="0" w:after="40"/>
      </w:pPr>
      <w:r>
        <w:rPr>
          <w:rFonts w:ascii="Calibri" w:hAnsi="Calibri"/>
          <w:b/>
          <w:color w:val="0B1F3A"/>
          <w:sz w:val="56"/>
        </w:rPr>
        <w:t>Knowledge Article</w:t>
      </w:r>
    </w:p>
    <w:p>
      <w:pPr>
        <w:spacing w:before="0" w:after="40"/>
      </w:pPr>
      <w:r>
        <w:rPr>
          <w:rFonts w:ascii="Calibri" w:hAnsi="Calibri"/>
          <w:b/>
          <w:color w:val="0B1F3A"/>
          <w:sz w:val="56"/>
        </w:rPr>
        <w:t>Curation</w:t>
      </w:r>
    </w:p>
    <w:p>
      <w:pPr>
        <w:spacing w:before="120" w:after="400"/>
      </w:pPr>
      <w:r>
        <w:rPr>
          <w:rFonts w:ascii="Calibri" w:hAnsi="Calibri"/>
          <w:i/>
          <w:color w:val="0D9488"/>
          <w:sz w:val="24"/>
        </w:rPr>
        <w:t>A decision guide for building and maintaining a knowledge base that agents trust and users find</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Knowledge Managers, Service Desk Leadership, Content Owners, Process Managers</w:t>
      </w:r>
    </w:p>
    <w:p>
      <w:pPr>
        <w:spacing w:after="40"/>
      </w:pPr>
      <w:r>
        <w:rPr>
          <w:rFonts w:ascii="Calibri" w:hAnsi="Calibri"/>
          <w:b w:val="0"/>
          <w:i w:val="0"/>
          <w:color w:val="475569"/>
          <w:sz w:val="20"/>
        </w:rPr>
        <w:t>Companion to: Knowledge Management Workshop Pre-Read · Virtual Agent Decision Guide</w:t>
      </w:r>
    </w:p>
    <w:p>
      <w:pPr>
        <w:spacing w:after="80"/>
      </w:pPr>
      <w:r>
        <w:rPr>
          <w:rFonts w:ascii="Calibri" w:hAnsi="Calibri"/>
          <w:b w:val="0"/>
          <w:i w:val="0"/>
          <w:color w:val="475569"/>
          <w:sz w:val="20"/>
        </w:rPr>
        <w:t>Document ID: CLT-DT-07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Guide</w:t>
      </w:r>
    </w:p>
    <w:p>
      <w:pPr>
        <w:spacing w:after="160" w:before="0"/>
      </w:pPr>
      <w:r>
        <w:rPr>
          <w:rFonts w:ascii="Calibri" w:hAnsi="Calibri"/>
          <w:color w:val="1A1A1A"/>
          <w:sz w:val="22"/>
        </w:rPr>
        <w:t>A knowledge base is worth precisely as much as users trust it. A knowledge base full of articles that are outdated, duplicated, or too generic to be actionable is not a resource — it is a search problem. Agents who learn that the knowledge base rarely has what they need stop searching it. Users who find outdated answers stop trusting it.</w:t>
      </w:r>
    </w:p>
    <w:p>
      <w:pPr>
        <w:spacing w:after="160" w:before="0"/>
      </w:pPr>
      <w:r>
        <w:rPr>
          <w:rFonts w:ascii="Calibri" w:hAnsi="Calibri"/>
          <w:color w:val="1A1A1A"/>
          <w:sz w:val="22"/>
        </w:rPr>
        <w:t>The decisions in this guide are not about whether to have a knowledge base — they are about how to build one that stays useful. Every decision here compounds over time: good article standards set early produce a knowledge base that improves with each new article. Poor standards produce a knowledge base that becomes harder to maintain with each passing month.</w:t>
      </w:r>
    </w:p>
    <w:p>
      <w:pPr>
        <w:spacing w:after="160" w:before="0"/>
      </w:pPr>
      <w:r>
        <w:rPr>
          <w:rFonts w:ascii="Calibri" w:hAnsi="Calibri"/>
          <w:color w:val="1A1A1A"/>
          <w:sz w:val="22"/>
        </w:rPr>
        <w:t>This guide pairs naturally with the Virtual Agent and Now Assist materials. Both AI capabilities draw on your knowledge articles — which means article quality is a direct input to AI quality. The time invested in curation discipline before go-live pays forward into every AI capability you activate.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customer is the decider in every section that follows. We frame the decisions, share what we have seen in similar engagements, and offer recommendations where we have strong observations. Where you land is your call, and we will partner with you to implement it.</w:t>
      </w:r>
    </w:p>
    <w:p>
      <w:pPr>
        <w:pStyle w:val="Heading1"/>
      </w:pPr>
      <w:r>
        <w:t>1.  Why Knowledge Article Curation Matters Now</w:t>
      </w:r>
    </w:p>
    <w:p>
      <w:pPr>
        <w:pStyle w:val="Heading2"/>
      </w:pPr>
      <w:r>
        <w:t>Knowledge articles are the primary training data for your AI capabilities</w:t>
      </w:r>
    </w:p>
    <w:p>
      <w:pPr>
        <w:spacing w:after="160" w:before="0"/>
      </w:pPr>
      <w:r>
        <w:rPr>
          <w:rFonts w:ascii="Calibri" w:hAnsi="Calibri"/>
          <w:color w:val="1A1A1A"/>
          <w:sz w:val="22"/>
        </w:rPr>
        <w:t>Virtual Agent searches knowledge articles to answer user questions. Now Assist in Virtual Agent generates responses grounded in knowledge content. Now Assist for Knowledge drafts new articles from resolution notes. Every one of these capabilities performs in proportion to article quality: clear, current, well-structured articles produce useful AI outputs; vague, outdated, duplicated articles produce outputs that agents and users learn to distrust.</w:t>
      </w:r>
    </w:p>
    <w:p>
      <w:pPr>
        <w:pStyle w:val="Heading2"/>
      </w:pPr>
      <w:r>
        <w:t>First-contact resolution depends on accessible, accurate knowledge</w:t>
      </w:r>
    </w:p>
    <w:p>
      <w:pPr>
        <w:spacing w:after="160" w:before="0"/>
      </w:pPr>
      <w:r>
        <w:rPr>
          <w:rFonts w:ascii="Calibri" w:hAnsi="Calibri"/>
          <w:color w:val="1A1A1A"/>
          <w:sz w:val="22"/>
        </w:rPr>
        <w:t>Agents who can find a clear resolution procedure in the knowledge base resolve tickets at first contact more often than agents who rely on memory or colleague consultation. The difference compounds: high first-contact resolution reduces contact volume, which gives agents more time per ticket, which improves resolution quality. The knowledge base is not a nice-to-have; it is the lever that determines whether your team's expertise is portable or locked in individuals.</w:t>
      </w:r>
    </w:p>
    <w:p>
      <w:pPr>
        <w:pStyle w:val="Heading2"/>
      </w:pPr>
      <w:r>
        <w:t>Self-service deflection requires knowledge that users can act on</w:t>
      </w:r>
    </w:p>
    <w:p>
      <w:pPr>
        <w:spacing w:after="160" w:before="0"/>
      </w:pPr>
      <w:r>
        <w:rPr>
          <w:rFonts w:ascii="Calibri" w:hAnsi="Calibri"/>
          <w:color w:val="1A1A1A"/>
          <w:sz w:val="22"/>
        </w:rPr>
        <w:t>When users search the Employee Center portal or ask Virtual Agent a question, the knowledge base is what they get back. An article titled 'VPN Issue' with two sentences of general guidance does not deflect the call — it delays it. An article titled 'How to reconnect to VPN after a password change' with step-by-step instructions and a screenshot deflects it. Deflection is a function of article specificity and actionability, not article volume.</w:t>
      </w:r>
    </w:p>
    <w:p>
      <w:r>
        <w:br w:type="page"/>
      </w:r>
    </w:p>
    <w:p>
      <w:pPr>
        <w:pStyle w:val="Heading1"/>
      </w:pPr>
      <w:r>
        <w:t>2.  The Signals That your knowledge management practice Needs Work</w:t>
      </w:r>
    </w:p>
    <w:p>
      <w:pPr>
        <w:spacing w:after="160" w:before="0"/>
      </w:pPr>
      <w:r>
        <w:rPr>
          <w:rFonts w:ascii="Calibri" w:hAnsi="Calibri"/>
          <w:color w:val="1A1A1A"/>
          <w:sz w:val="22"/>
        </w:rPr>
        <w:t>You may already sense that something has drifted. The signals below show up consistently across customers in similar positions. None of them mean the current state is broken — they mean it has grown into a shape that no longer fits the work it is being asked to do.</w:t>
      </w:r>
    </w:p>
    <w:p>
      <w:pPr>
        <w:pStyle w:val="Heading2"/>
      </w:pPr>
      <w:r>
        <w:t>Agents say 'the knowledge base is never helpful'</w:t>
      </w:r>
    </w:p>
    <w:p>
      <w:pPr>
        <w:spacing w:after="160" w:before="0"/>
      </w:pPr>
      <w:r>
        <w:rPr>
          <w:rFonts w:ascii="Calibri" w:hAnsi="Calibri"/>
          <w:color w:val="1A1A1A"/>
          <w:sz w:val="22"/>
        </w:rPr>
        <w:t>This is the most direct signal of a curation problem. When agents routinely skip the knowledge base and go straight to a colleague, the knowledge base has lost their trust. Trust is lost when articles are consistently outdated, too generic, or absent for the most common issues. Rebuilding trust requires a visible commitment to a curated, maintained article set — not just more articles.</w:t>
      </w:r>
    </w:p>
    <w:p>
      <w:pPr>
        <w:pStyle w:val="Heading2"/>
      </w:pPr>
      <w:r>
        <w:t>Search returns many results for every query, but none is the right one</w:t>
      </w:r>
    </w:p>
    <w:p>
      <w:pPr>
        <w:spacing w:after="160" w:before="0"/>
      </w:pPr>
      <w:r>
        <w:rPr>
          <w:rFonts w:ascii="Calibri" w:hAnsi="Calibri"/>
          <w:color w:val="1A1A1A"/>
          <w:sz w:val="22"/>
        </w:rPr>
        <w:t>When the search for 'password reset' returns 12 articles — some for Windows, some for specific applications, some outdated, some duplicates — users stop trusting search and start calling. Article deduplication and clear titling are the most impactful quick wins for search performance.</w:t>
      </w:r>
    </w:p>
    <w:p>
      <w:pPr>
        <w:pStyle w:val="Heading2"/>
      </w:pPr>
      <w:r>
        <w:t>No article review process exists</w:t>
      </w:r>
    </w:p>
    <w:p>
      <w:pPr>
        <w:spacing w:after="160" w:before="0"/>
      </w:pPr>
      <w:r>
        <w:rPr>
          <w:rFonts w:ascii="Calibri" w:hAnsi="Calibri"/>
          <w:color w:val="1A1A1A"/>
          <w:sz w:val="22"/>
        </w:rPr>
        <w:t>Articles that were accurate when published become inaccurate as systems change. Without a scheduled review process, the knowledge base drifts from reality over time. The typical pattern: articles are accurate for the first 6 months, then 30% are outdated by month 12, and 60% by month 24. A review cadence prevents this drift from becoming a trust problem.</w:t>
      </w:r>
    </w:p>
    <w:p>
      <w:pPr>
        <w:pStyle w:val="Heading2"/>
      </w:pPr>
      <w:r>
        <w:t>Knowledge base is used only internally, not by end users</w:t>
      </w:r>
    </w:p>
    <w:p>
      <w:pPr>
        <w:spacing w:after="160" w:before="0"/>
      </w:pPr>
      <w:r>
        <w:rPr>
          <w:rFonts w:ascii="Calibri" w:hAnsi="Calibri"/>
          <w:color w:val="1A1A1A"/>
          <w:sz w:val="22"/>
        </w:rPr>
        <w:t>If your knowledge base is visible only to IT agents and not accessible to end users through the portal, you are capturing one benefit (faster agent resolution) and missing the larger one (self-service deflection). The question is not whether all articles should be user-visible, but whether the ones that could be user-visible are.</w:t>
      </w:r>
    </w:p>
    <w:p>
      <w:r>
        <w:br w:type="page"/>
      </w:r>
    </w:p>
    <w:p>
      <w:pPr>
        <w:pStyle w:val="Heading1"/>
      </w:pPr>
      <w:r>
        <w:t>3.  The Four Decisions</w:t>
      </w:r>
    </w:p>
    <w:p>
      <w:pPr>
        <w:spacing w:after="160" w:before="0"/>
      </w:pPr>
      <w:r>
        <w:rPr>
          <w:rFonts w:ascii="Calibri" w:hAnsi="Calibri"/>
          <w:color w:val="1A1A1A"/>
          <w:sz w:val="22"/>
        </w:rPr>
        <w:t>These are the decisions your team will make in the workshop. They are framed here with the questions they raise, the trade-offs to weigh, and where we typically see customers land. The point is not to bring you to our answer — it is to bring you to your answer with the full picture in view.</w:t>
      </w:r>
    </w:p>
    <w:p>
      <w:pPr>
        <w:pStyle w:val="Heading2"/>
      </w:pPr>
      <w:r>
        <w:t>Decision 1 — What is the minimum quality standard for a publishable article?</w:t>
      </w:r>
    </w:p>
    <w:p>
      <w:pPr>
        <w:spacing w:after="160" w:before="0"/>
      </w:pPr>
      <w:r>
        <w:rPr>
          <w:rFonts w:ascii="Calibri" w:hAnsi="Calibri"/>
          <w:color w:val="1A1A1A"/>
          <w:sz w:val="22"/>
        </w:rPr>
        <w:t>Before the first article is published, the team needs a shared definition of what 'good enough to publish' means. This prevents the common failure mode: an initial migration of hundreds of articles from a SharePoint wiki, none of which meet a quality bar, followed by a knowledge base that is technically large but practically worthless.</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What template will articles follow — How-To, FAQ, Known Error, Reference?</w:t>
      </w:r>
    </w:p>
    <w:p>
      <w:pPr>
        <w:pStyle w:val="ListBullet"/>
        <w:spacing w:after="40"/>
        <w:ind w:left="360"/>
      </w:pPr>
      <w:r>
        <w:rPr>
          <w:rFonts w:ascii="Calibri" w:hAnsi="Calibri"/>
          <w:sz w:val="22"/>
        </w:rPr>
        <w:t>What is the minimum required content for each template?</w:t>
      </w:r>
    </w:p>
    <w:p>
      <w:pPr>
        <w:pStyle w:val="ListBullet"/>
        <w:spacing w:after="40"/>
        <w:ind w:left="360"/>
      </w:pPr>
      <w:r>
        <w:rPr>
          <w:rFonts w:ascii="Calibri" w:hAnsi="Calibri"/>
          <w:sz w:val="22"/>
        </w:rPr>
        <w:t>Who reviews and approves articles before they are published?</w:t>
      </w:r>
    </w:p>
    <w:p>
      <w:pPr>
        <w:pStyle w:val="ListBullet"/>
        <w:spacing w:after="40"/>
        <w:ind w:left="360"/>
      </w:pPr>
      <w:r>
        <w:rPr>
          <w:rFonts w:ascii="Calibri" w:hAnsi="Calibri"/>
          <w:sz w:val="22"/>
        </w:rPr>
        <w:t>What is the maximum allowed age for an article before it must be reviewed?</w:t>
      </w:r>
    </w:p>
    <w:p>
      <w:pPr>
        <w:spacing w:after="160" w:before="80"/>
      </w:pPr>
      <w:r>
        <w:rPr>
          <w:rFonts w:ascii="Calibri" w:hAnsi="Calibri"/>
          <w:i/>
          <w:color w:val="1A1A1A"/>
          <w:sz w:val="22"/>
        </w:rPr>
        <w:t>Minimum bar: accurate title, correct template, reviewed by a named knowledge owner, actionable content (a user or agent reading it can take a next step). Anything below this bar stays in Draft until it meets the standard.</w:t>
      </w:r>
    </w:p>
    <w:p>
      <w:pPr>
        <w:pStyle w:val="Heading2"/>
      </w:pPr>
      <w:r>
        <w:t>Decision 2 — What is the review and retirement cadence?</w:t>
      </w:r>
    </w:p>
    <w:p>
      <w:pPr>
        <w:spacing w:after="160" w:before="0"/>
      </w:pPr>
      <w:r>
        <w:rPr>
          <w:rFonts w:ascii="Calibri" w:hAnsi="Calibri"/>
          <w:color w:val="1A1A1A"/>
          <w:sz w:val="22"/>
        </w:rPr>
        <w:t>Knowledge articles need a scheduled review cycle and a defined retirement trigger. ServiceNow supports configurable review reminders — you define how many days after publish a review notification fires, and who receives it. You also define what happens to articles that are not reviewed in time: they can be automatically flagged or automatically retired.</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How frequently should each article be reviewed — every 6 months, every 12 months?</w:t>
      </w:r>
    </w:p>
    <w:p>
      <w:pPr>
        <w:pStyle w:val="ListBullet"/>
        <w:spacing w:after="40"/>
        <w:ind w:left="360"/>
      </w:pPr>
      <w:r>
        <w:rPr>
          <w:rFonts w:ascii="Calibri" w:hAnsi="Calibri"/>
          <w:sz w:val="22"/>
        </w:rPr>
        <w:t>Who is responsible for reviewing articles in each service area?</w:t>
      </w:r>
    </w:p>
    <w:p>
      <w:pPr>
        <w:pStyle w:val="ListBullet"/>
        <w:spacing w:after="40"/>
        <w:ind w:left="360"/>
      </w:pPr>
      <w:r>
        <w:rPr>
          <w:rFonts w:ascii="Calibri" w:hAnsi="Calibri"/>
          <w:sz w:val="22"/>
        </w:rPr>
        <w:t>What happens to an article that misses its review window — flag it, or auto-retire?</w:t>
      </w:r>
    </w:p>
    <w:p>
      <w:pPr>
        <w:pStyle w:val="Heading2"/>
      </w:pPr>
      <w:r>
        <w:t>Decision 3 — Which articles should be user-visible versus agent-only?</w:t>
      </w:r>
    </w:p>
    <w:p>
      <w:pPr>
        <w:spacing w:after="160" w:before="0"/>
      </w:pPr>
      <w:r>
        <w:rPr>
          <w:rFonts w:ascii="Calibri" w:hAnsi="Calibri"/>
          <w:color w:val="1A1A1A"/>
          <w:sz w:val="22"/>
        </w:rPr>
        <w:t>User-visible articles appear in Employee Center search results and in Virtual Agent responses. Agent-only articles appear only in the agent workspace. The design question is the default: do you start with all articles user-visible (with explicit flagging for agent-only) or all articles agent-only (with explicit promotion for user-visible)?</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Are there categories of content that should never reach end users (e.g., internal runbooks, vendor credentials)?</w:t>
      </w:r>
    </w:p>
    <w:p>
      <w:pPr>
        <w:pStyle w:val="ListBullet"/>
        <w:spacing w:after="40"/>
        <w:ind w:left="360"/>
      </w:pPr>
      <w:r>
        <w:rPr>
          <w:rFonts w:ascii="Calibri" w:hAnsi="Calibri"/>
          <w:sz w:val="22"/>
        </w:rPr>
        <w:t>What is your appetite for user-facing content — do you want to optimize for deflection or for internal efficiency first?</w:t>
      </w:r>
    </w:p>
    <w:p>
      <w:pPr>
        <w:spacing w:after="160" w:before="80"/>
      </w:pPr>
      <w:r>
        <w:rPr>
          <w:rFonts w:ascii="Calibri" w:hAnsi="Calibri"/>
          <w:i/>
          <w:color w:val="1A1A1A"/>
          <w:sz w:val="22"/>
        </w:rPr>
        <w:t>Start with user-visible as the default for How-To and FAQ articles. Reserve agent-only for Known Error runbooks and internal process guides.</w:t>
      </w:r>
    </w:p>
    <w:p>
      <w:pPr>
        <w:pStyle w:val="Heading2"/>
      </w:pPr>
      <w:r>
        <w:t>Decision 4 — How will articles be migrated from existing sources?</w:t>
      </w:r>
    </w:p>
    <w:p>
      <w:pPr>
        <w:spacing w:after="160" w:before="0"/>
      </w:pPr>
      <w:r>
        <w:rPr>
          <w:rFonts w:ascii="Calibri" w:hAnsi="Calibri"/>
          <w:color w:val="1A1A1A"/>
          <w:sz w:val="22"/>
        </w:rPr>
        <w:t>Most organizations have existing knowledge scattered across SharePoint, wikis, email threads, and individuals. The migration decision is: bulk import everything, selective import of high-quality content, or start fresh with new articles. The bulk import approach feels faster but typically imports existing quality problems. Selective migration — bringing only current, accurate, well-structured content — produces a smaller but trusted knowledge base at launch.</w:t>
      </w:r>
    </w:p>
    <w:p>
      <w:pPr>
        <w:spacing w:after="40" w:before="0"/>
      </w:pPr>
      <w:r>
        <w:rPr>
          <w:rFonts w:ascii="Calibri" w:hAnsi="Calibri"/>
          <w:b/>
          <w:color w:val="1A1A1A"/>
          <w:sz w:val="22"/>
        </w:rPr>
        <w:t>Questions to weigh:</w:t>
      </w:r>
    </w:p>
    <w:p>
      <w:pPr>
        <w:pStyle w:val="ListBullet"/>
        <w:spacing w:after="40"/>
        <w:ind w:left="360"/>
      </w:pPr>
      <w:r>
        <w:rPr>
          <w:rFonts w:ascii="Calibri" w:hAnsi="Calibri"/>
          <w:sz w:val="22"/>
        </w:rPr>
        <w:t>Where does your current knowledge live? Is it structured or unstructured?</w:t>
      </w:r>
    </w:p>
    <w:p>
      <w:pPr>
        <w:pStyle w:val="ListBullet"/>
        <w:spacing w:after="40"/>
        <w:ind w:left="360"/>
      </w:pPr>
      <w:r>
        <w:rPr>
          <w:rFonts w:ascii="Calibri" w:hAnsi="Calibri"/>
          <w:sz w:val="22"/>
        </w:rPr>
        <w:t>Do you have existing articles that you would consider high-quality today?</w:t>
      </w:r>
    </w:p>
    <w:p>
      <w:pPr>
        <w:pStyle w:val="ListBullet"/>
        <w:spacing w:after="40"/>
        <w:ind w:left="360"/>
      </w:pPr>
      <w:r>
        <w:rPr>
          <w:rFonts w:ascii="Calibri" w:hAnsi="Calibri"/>
          <w:sz w:val="22"/>
        </w:rPr>
        <w:t>Is there a team member who can lead a structured migration review?</w:t>
      </w:r>
    </w:p>
    <w:p>
      <w:r>
        <w:br w:type="page"/>
      </w:r>
    </w:p>
    <w:p>
      <w:pPr>
        <w:pStyle w:val="Heading1"/>
      </w:pPr>
      <w:r>
        <w:t>4.  What Good Looks Like</w:t>
      </w:r>
    </w:p>
    <w:p>
      <w:pPr>
        <w:spacing w:after="160" w:before="0"/>
      </w:pPr>
      <w:r>
        <w:rPr>
          <w:rFonts w:ascii="Calibri" w:hAnsi="Calibri"/>
          <w:color w:val="1A1A1A"/>
          <w:sz w:val="22"/>
        </w:rPr>
        <w:t>Good is not a single configuration. It is a set of properties that, together, signal a healthy and sustainable design. The table below contrasts what we aim for with the warning signs that suggest a design needs revisiting.</w:t>
      </w:r>
    </w:p>
    <w:tbl>
      <w:tblPr>
        <w:tblW w:type="auto" w:w="0"/>
        <w:jc w:val="left"/>
        <w:tblLook w:firstColumn="1" w:firstRow="1" w:lastColumn="0" w:lastRow="0" w:noHBand="0" w:noVBand="1" w:val="04A0"/>
      </w:tblPr>
      <w:tblGrid>
        <w:gridCol w:w="4680"/>
        <w:gridCol w:w="4680"/>
      </w:tblGrid>
      <w:tr>
        <w:trPr>
          <w:tblHeader/>
        </w:trPr>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good looks like</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Warning sign</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Articles have clear, searchable titles that match how users describe the issue</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 titles are generic ('Network Issue') or use internal codes users do not know</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article follows a template with defined required sections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Articles vary in structure — some are a paragraph, some are 10 pages</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reminders fire on a defined schedule; owners respond within SLA</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Articles published and never reviewed — accuracy degrades without detection</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Search for a common issue returns 1–3 relevant articles, not 15</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Search returns many near-duplicate results for every common query</w:t>
            </w:r>
          </w:p>
        </w:tc>
      </w:tr>
      <w:tr>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User-visible articles are actionable — a user can follow them to resolution</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User-visible articles are general background — users still need to call</w:t>
            </w:r>
          </w:p>
        </w:tc>
      </w:tr>
      <w:tr>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Article effectiveness tracked via feedback and view-to-resolution data</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 data on which articles are useful — curation decisions made by instinct</w:t>
            </w:r>
          </w:p>
        </w:tc>
      </w:tr>
    </w:tbl>
    <w:p>
      <w:pPr>
        <w:spacing w:after="40"/>
      </w:pPr>
    </w:p>
    <w:p>
      <w:pPr>
        <w:pStyle w:val="Heading1"/>
      </w:pPr>
      <w:r>
        <w:t>5.  Common Patterns We Have Seen</w:t>
      </w:r>
    </w:p>
    <w:p>
      <w:pPr>
        <w:spacing w:after="160" w:before="0"/>
      </w:pPr>
      <w:r>
        <w:rPr>
          <w:rFonts w:ascii="Calibri" w:hAnsi="Calibri"/>
          <w:color w:val="1A1A1A"/>
          <w:sz w:val="22"/>
        </w:rPr>
        <w:t>These de-identified examples illustrate how different organizations have approached this set of decisions. Names and identifying details have been changed.</w:t>
      </w:r>
    </w:p>
    <w:p>
      <w:pPr>
        <w:pStyle w:val="Heading2"/>
      </w:pPr>
      <w:r>
        <w:t>Pattern A — Selective migration producing a trusted knowledge base</w:t>
      </w:r>
    </w:p>
    <w:p>
      <w:pPr>
        <w:spacing w:after="160" w:before="0"/>
      </w:pPr>
      <w:r>
        <w:rPr>
          <w:rFonts w:ascii="Calibri" w:hAnsi="Calibri"/>
          <w:color w:val="1A1A1A"/>
          <w:sz w:val="22"/>
        </w:rPr>
        <w:t>A federal agency had 800 articles in a SharePoint wiki. Rather than bulk-importing them, they ran a structured review: two knowledge leads spent two weeks classifying each article as 'migrate,' 'rewrite,' or 'retire.' Of 800 articles, 210 migrated as-is, 120 were rewritten, and 470 were retired as outdated or duplicates. The resulting 330-article knowledge base had a user satisfaction rating of 4.2/5 within 60 days of go-live. The agency that had done a bulk import of all 800 articles reported a 2.1/5 rating — because users kept finding outdated content.</w:t>
      </w:r>
    </w:p>
    <w:p>
      <w:pPr>
        <w:pStyle w:val="Heading2"/>
      </w:pPr>
      <w:r>
        <w:t>Pattern B — Now Assist drafting articles from resolution notes</w:t>
      </w:r>
    </w:p>
    <w:p>
      <w:pPr>
        <w:spacing w:after="160" w:before="0"/>
      </w:pPr>
      <w:r>
        <w:rPr>
          <w:rFonts w:ascii="Calibri" w:hAnsi="Calibri"/>
          <w:color w:val="1A1A1A"/>
          <w:sz w:val="22"/>
        </w:rPr>
        <w:t>A technology company implemented a process using Now Assist for Knowledge: at ticket closure, if the resolution note met a minimum length and the issue category was flagged as 'knowledge candidate,' Now Assist drafted an article that went to the knowledge queue for review. In the first quarter, 85 articles were drafted and 45 were published after review — more than the knowledge team had published manually in the prior year. Agent review time was approximately 10 minutes per article.</w:t>
      </w:r>
    </w:p>
    <w:p>
      <w:pPr>
        <w:pStyle w:val="Heading2"/>
      </w:pPr>
      <w:r>
        <w:t>Pattern C — Tiered visibility for security-sensitive content</w:t>
      </w:r>
    </w:p>
    <w:p>
      <w:pPr>
        <w:spacing w:after="160" w:before="0"/>
      </w:pPr>
      <w:r>
        <w:rPr>
          <w:rFonts w:ascii="Calibri" w:hAnsi="Calibri"/>
          <w:color w:val="1A1A1A"/>
          <w:sz w:val="22"/>
        </w:rPr>
        <w:t>A healthcare organization maintained two parallel knowledge bases: one user-visible with How-To and FAQ content, one agent-only with runbooks and known error procedures that included system credentials and internal configurations. The tiered approach let them publish aggressively to the user-facing base without security review, while keeping sensitive operational content fully controlled.</w:t>
      </w:r>
    </w:p>
    <w:p>
      <w:r>
        <w:br w:type="page"/>
      </w:r>
    </w:p>
    <w:p>
      <w:pPr>
        <w:pStyle w:val="Heading1"/>
      </w:pPr>
      <w:r>
        <w:t>6.  How We Will Workshop This Together</w:t>
      </w:r>
    </w:p>
    <w:p>
      <w:pPr>
        <w:spacing w:after="160" w:before="0"/>
      </w:pPr>
      <w:r>
        <w:rPr>
          <w:rFonts w:ascii="Calibri" w:hAnsi="Calibri"/>
          <w:color w:val="1A1A1A"/>
          <w:sz w:val="22"/>
        </w:rPr>
        <w:t>In the workshop, we will define your article templates, quality standards, review cadence, and visibility model. We will also assess your existing knowledge sources and develop a migration plan — identifying what migrates as-is, what needs rewriting, and what should not be migrated. The output is a knowledge management governance document and an initial article backlog ready for the Knowledge sprint.</w:t>
      </w:r>
    </w:p>
    <w:p>
      <w:pPr>
        <w:pStyle w:val="Heading1"/>
      </w:pPr>
      <w:r>
        <w:t>7.  What We Will Need from Your Team</w:t>
      </w:r>
    </w:p>
    <w:p>
      <w:pPr>
        <w:spacing w:after="160" w:before="0"/>
      </w:pPr>
      <w:r>
        <w:rPr>
          <w:rFonts w:ascii="Calibri" w:hAnsi="Calibri"/>
          <w:color w:val="1A1A1A"/>
          <w:sz w:val="22"/>
        </w:rPr>
        <w:t>You do not need to prepare formal reports or pull data from every system. The items below help us move faster and surface the right context in the workshop.</w:t>
      </w:r>
    </w:p>
    <w:p>
      <w:pPr>
        <w:pStyle w:val="ListBullet"/>
        <w:spacing w:after="40"/>
        <w:ind w:left="360"/>
      </w:pPr>
      <w:r>
        <w:rPr>
          <w:rFonts w:ascii="Calibri" w:hAnsi="Calibri"/>
          <w:sz w:val="22"/>
        </w:rPr>
        <w:t>Inventory of existing knowledge sources (SharePoint sites, wiki pages, shared drives with process documentation)</w:t>
      </w:r>
    </w:p>
    <w:p>
      <w:pPr>
        <w:pStyle w:val="ListBullet"/>
        <w:spacing w:after="40"/>
        <w:ind w:left="360"/>
      </w:pPr>
      <w:r>
        <w:rPr>
          <w:rFonts w:ascii="Calibri" w:hAnsi="Calibri"/>
          <w:sz w:val="22"/>
        </w:rPr>
        <w:t>List of the top 20 issues your team resolves repeatedly — these are your first article targets</w:t>
      </w:r>
    </w:p>
    <w:p>
      <w:pPr>
        <w:pStyle w:val="ListBullet"/>
        <w:spacing w:after="40"/>
        <w:ind w:left="360"/>
      </w:pPr>
      <w:r>
        <w:rPr>
          <w:rFonts w:ascii="Calibri" w:hAnsi="Calibri"/>
          <w:sz w:val="22"/>
        </w:rPr>
        <w:t>Current knowledge base (if any) with article count and last-updated dates</w:t>
      </w:r>
    </w:p>
    <w:p>
      <w:pPr>
        <w:pStyle w:val="ListBullet"/>
        <w:spacing w:after="40"/>
        <w:ind w:left="360"/>
      </w:pPr>
      <w:r>
        <w:rPr>
          <w:rFonts w:ascii="Calibri" w:hAnsi="Calibri"/>
          <w:sz w:val="22"/>
        </w:rPr>
        <w:t>Team member who will lead knowledge management post-go-live</w:t>
      </w:r>
    </w:p>
    <w:p>
      <w:pPr>
        <w:pStyle w:val="Heading1"/>
      </w:pPr>
      <w:r>
        <w:t>8.  Questions to Consider Before Our Session</w:t>
      </w:r>
    </w:p>
    <w:p>
      <w:pPr>
        <w:spacing w:after="160" w:before="0"/>
      </w:pPr>
      <w:r>
        <w:rPr>
          <w:rFonts w:ascii="Calibri" w:hAnsi="Calibri"/>
          <w:color w:val="1A1A1A"/>
          <w:sz w:val="22"/>
        </w:rPr>
        <w:t>Bring whatever you have. These are prompts for reflection, not prerequisites. The workshop is where we work through the answers together.</w:t>
      </w:r>
    </w:p>
    <w:p>
      <w:pPr>
        <w:pStyle w:val="ListBullet"/>
        <w:spacing w:after="40"/>
        <w:ind w:left="360"/>
      </w:pPr>
      <w:r>
        <w:rPr>
          <w:rFonts w:ascii="Calibri" w:hAnsi="Calibri"/>
          <w:sz w:val="22"/>
        </w:rPr>
        <w:t>Does your team currently use a knowledge base? If so, what is the agent satisfaction with it?</w:t>
      </w:r>
    </w:p>
    <w:p>
      <w:pPr>
        <w:pStyle w:val="ListBullet"/>
        <w:spacing w:after="40"/>
        <w:ind w:left="360"/>
      </w:pPr>
      <w:r>
        <w:rPr>
          <w:rFonts w:ascii="Calibri" w:hAnsi="Calibri"/>
          <w:sz w:val="22"/>
        </w:rPr>
        <w:t>Where does institutional knowledge live today — in documents, in people's heads, in email threads?</w:t>
      </w:r>
    </w:p>
    <w:p>
      <w:pPr>
        <w:pStyle w:val="ListBullet"/>
        <w:spacing w:after="40"/>
        <w:ind w:left="360"/>
      </w:pPr>
      <w:r>
        <w:rPr>
          <w:rFonts w:ascii="Calibri" w:hAnsi="Calibri"/>
          <w:sz w:val="22"/>
        </w:rPr>
        <w:t>Who would own the article review and publication process post-go-live?</w:t>
      </w:r>
    </w:p>
    <w:p>
      <w:pPr>
        <w:pStyle w:val="ListBullet"/>
        <w:spacing w:after="40"/>
        <w:ind w:left="360"/>
      </w:pPr>
      <w:r>
        <w:rPr>
          <w:rFonts w:ascii="Calibri" w:hAnsi="Calibri"/>
          <w:sz w:val="22"/>
        </w:rPr>
        <w:t>Are there topics that are sensitive enough to require restricted visibility?</w:t>
      </w:r>
    </w:p>
    <w:p>
      <w:pPr>
        <w:pStyle w:val="ListBullet"/>
        <w:spacing w:after="40"/>
        <w:ind w:left="360"/>
      </w:pPr>
      <w:r>
        <w:rPr>
          <w:rFonts w:ascii="Calibri" w:hAnsi="Calibri"/>
          <w:sz w:val="22"/>
        </w:rPr>
        <w:t>What is the most common reason users contact the service desk — is there existing documentation for those issues?</w:t>
      </w:r>
    </w:p>
    <w:p>
      <w:pPr>
        <w:pStyle w:val="Heading1"/>
      </w:pPr>
      <w:r>
        <w:t>9.  Cross-References and Next Steps</w:t>
      </w:r>
    </w:p>
    <w:p>
      <w:pPr>
        <w:spacing w:after="160" w:before="0"/>
      </w:pPr>
      <w:r>
        <w:rPr>
          <w:rFonts w:ascii="Calibri" w:hAnsi="Calibri"/>
          <w:color w:val="1A1A1A"/>
          <w:sz w:val="22"/>
        </w:rPr>
        <w:t>This guide sits within a broader set of client materials. The table below identifies the most relevant companions.</w:t>
      </w:r>
    </w:p>
    <w:tbl>
      <w:tblPr>
        <w:tblW w:type="auto" w:w="0"/>
        <w:jc w:val="left"/>
        <w:tblLook w:firstColumn="1" w:firstRow="1" w:lastColumn="0" w:lastRow="0" w:noHBand="0" w:noVBand="1" w:val="04A0"/>
      </w:tblPr>
      <w:tblGrid>
        <w:gridCol w:w="3120"/>
        <w:gridCol w:w="3120"/>
        <w:gridCol w:w="3120"/>
      </w:tblGrid>
      <w:tr>
        <w:trPr>
          <w:tblHeader/>
        </w:trPr>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Document</w:t>
            </w:r>
          </w:p>
        </w:tc>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relevant</w:t>
            </w:r>
          </w:p>
        </w:tc>
        <w:tc>
          <w:tcPr>
            <w:tcW w:type="dxa" w:w="296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Where to find it</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Knowledge Management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Background reading for the Knowledge Management sprint workshop</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r>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Virtual Agent Topic Selection Decision Guide</w:t>
            </w:r>
          </w:p>
        </w:tc>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VA topics need corresponding knowledge articles — design them together</w:t>
            </w:r>
          </w:p>
        </w:tc>
        <w:tc>
          <w:tcPr>
            <w:tcW w:type="dxa" w:w="296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02_Client/04_Decision_Topic_Guides/</w:t>
            </w:r>
          </w:p>
        </w:tc>
      </w:tr>
      <w:tr>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Assist/GenAI Workshop Pre-Read</w:t>
            </w:r>
          </w:p>
        </w:tc>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 Assist drafts knowledge articles from resolution notes — understand the connection</w:t>
            </w:r>
          </w:p>
        </w:tc>
        <w:tc>
          <w:tcPr>
            <w:tcW w:type="dxa" w:w="296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02_Client/05_Workshop_Pre-Reads/</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Decision Topic Guide  ·  Knowledge Article Curation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