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PREDICTIVE INTELLIGENCE READINESS</w:t>
      </w:r>
    </w:p>
    <w:p>
      <w:pPr>
        <w:spacing w:before="0" w:after="40"/>
      </w:pPr>
      <w:r>
        <w:rPr>
          <w:rFonts w:ascii="Calibri" w:hAnsi="Calibri"/>
          <w:b/>
          <w:color w:val="0B1F3A"/>
          <w:sz w:val="56"/>
        </w:rPr>
        <w:t>Predictive Intelligence</w:t>
      </w:r>
    </w:p>
    <w:p>
      <w:pPr>
        <w:spacing w:before="0" w:after="40"/>
      </w:pPr>
      <w:r>
        <w:rPr>
          <w:rFonts w:ascii="Calibri" w:hAnsi="Calibri"/>
          <w:b/>
          <w:color w:val="0B1F3A"/>
          <w:sz w:val="56"/>
        </w:rPr>
        <w:t>Readiness</w:t>
      </w:r>
    </w:p>
    <w:p>
      <w:pPr>
        <w:spacing w:before="120" w:after="400"/>
      </w:pPr>
      <w:r>
        <w:rPr>
          <w:rFonts w:ascii="Calibri" w:hAnsi="Calibri"/>
          <w:i/>
          <w:color w:val="0D9488"/>
          <w:sz w:val="24"/>
        </w:rPr>
        <w:t>A decision guide for assessing data quality, selecting use cases, and governing ML models in ServiceNow</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Incident Managers, Service Desk Leadership, Data and Analytics Owners</w:t>
      </w:r>
    </w:p>
    <w:p>
      <w:pPr>
        <w:spacing w:after="40"/>
      </w:pPr>
      <w:r>
        <w:rPr>
          <w:rFonts w:ascii="Calibri" w:hAnsi="Calibri"/>
          <w:b w:val="0"/>
          <w:i w:val="0"/>
          <w:color w:val="475569"/>
          <w:sz w:val="20"/>
        </w:rPr>
        <w:t>Companion to: Predictive Intelligence Workshop Pre-Read · Category Structure Simplification Decision Guide</w:t>
      </w:r>
    </w:p>
    <w:p>
      <w:pPr>
        <w:spacing w:after="80"/>
      </w:pPr>
      <w:r>
        <w:rPr>
          <w:rFonts w:ascii="Calibri" w:hAnsi="Calibri"/>
          <w:b w:val="0"/>
          <w:i w:val="0"/>
          <w:color w:val="475569"/>
          <w:sz w:val="20"/>
        </w:rPr>
        <w:t>Document ID: CLT-DT-09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Predictive Intelligence (PI) is one of the most directly measurable AI capabilities in ServiceNow. When it works well, incoming tickets are categorized and routed automatically before a human touches them. When it is misconfigured — trained on inconsistent data or applied to the wrong use cases — it makes suggestions agents learn to ignore, and the capability quietly disappears from adoption.</w:t>
      </w:r>
    </w:p>
    <w:p>
      <w:pPr>
        <w:spacing w:after="160" w:before="0"/>
      </w:pPr>
      <w:r>
        <w:rPr>
          <w:rFonts w:ascii="Calibri" w:hAnsi="Calibri"/>
          <w:color w:val="1A1A1A"/>
          <w:sz w:val="22"/>
        </w:rPr>
        <w:t>The difference between those two outcomes is almost entirely in the preparation. PI is a machine learning model: it learns from your historical data and applies what it learns to new records. Feed it clean, consistent data and it produces accurate predictions. Feed it noisy data and it produces noise. The data decisions you make now — in category structure, in closure discipline, in assignment accuracy — are the PI training investment.</w:t>
      </w:r>
    </w:p>
    <w:p>
      <w:pPr>
        <w:spacing w:after="160" w:before="0"/>
      </w:pPr>
      <w:r>
        <w:rPr>
          <w:rFonts w:ascii="Calibri" w:hAnsi="Calibri"/>
          <w:color w:val="1A1A1A"/>
          <w:sz w:val="22"/>
        </w:rPr>
        <w:t>Read this alongside the Category Structure Simplification guide. Category consistency is the single most important PI prerequisite, and the two conversations belong together.</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Predictive Intelligence Readiness Matters Now</w:t>
      </w:r>
    </w:p>
    <w:p>
      <w:pPr>
        <w:pStyle w:val="Heading2"/>
      </w:pPr>
      <w:r>
        <w:t>Every miscategorized ticket is a PI training error</w:t>
      </w:r>
    </w:p>
    <w:p>
      <w:pPr>
        <w:spacing w:after="160" w:before="0"/>
      </w:pPr>
      <w:r>
        <w:rPr>
          <w:rFonts w:ascii="Calibri" w:hAnsi="Calibri"/>
          <w:color w:val="1A1A1A"/>
          <w:sz w:val="22"/>
        </w:rPr>
        <w:t>PI trains on the category and assignment group recorded in closed tickets. When agents categorize the same issue type differently across the team, the training data contains contradictions: the same description leads to different categories in the historical record. The model cannot learn a reliable pattern from contradictory data. Data consistency is not a precondition of PI — it IS PI training.</w:t>
      </w:r>
    </w:p>
    <w:p>
      <w:pPr>
        <w:pStyle w:val="Heading2"/>
      </w:pPr>
      <w:r>
        <w:t>Routing accuracy from PI compounds over time</w:t>
      </w:r>
    </w:p>
    <w:p>
      <w:pPr>
        <w:spacing w:after="160" w:before="0"/>
      </w:pPr>
      <w:r>
        <w:rPr>
          <w:rFonts w:ascii="Calibri" w:hAnsi="Calibri"/>
          <w:color w:val="1A1A1A"/>
          <w:sz w:val="22"/>
        </w:rPr>
        <w:t>When PI makes a prediction and the agent confirms it (accepts the suggested category without changing it), that confirmation reinforces the model. When the agent changes the prediction, that correction adjusts the model. A PI model in an environment with high categorization consistency improves continuously. A model in an inconsistent environment oscillates and does not improve.</w:t>
      </w:r>
    </w:p>
    <w:p>
      <w:pPr>
        <w:pStyle w:val="Heading2"/>
      </w:pPr>
      <w:r>
        <w:t>PI readiness is an organizational discipline, not a technical configuration</w:t>
      </w:r>
    </w:p>
    <w:p>
      <w:pPr>
        <w:spacing w:after="160" w:before="0"/>
      </w:pPr>
      <w:r>
        <w:rPr>
          <w:rFonts w:ascii="Calibri" w:hAnsi="Calibri"/>
          <w:color w:val="1A1A1A"/>
          <w:sz w:val="22"/>
        </w:rPr>
        <w:t>Organizations that treat PI readiness as a data quality project — auditing their historical data, retraining categories, enforcing closure discipline — achieve meaningful prediction accuracy in the first 60 days of activation. Organizations that treat PI as a feature to turn on without data preparation rarely see prediction accuracy above 50% — below the threshold where agents trust and use the predictions.</w:t>
      </w:r>
    </w:p>
    <w:p>
      <w:r>
        <w:br w:type="page"/>
      </w:r>
    </w:p>
    <w:p>
      <w:pPr>
        <w:pStyle w:val="Heading1"/>
      </w:pPr>
      <w:r>
        <w:t>2.  The Signals That your Predictive Intelligence configuration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Category consistency rate below 70%</w:t>
      </w:r>
    </w:p>
    <w:p>
      <w:pPr>
        <w:spacing w:after="160" w:before="0"/>
      </w:pPr>
      <w:r>
        <w:rPr>
          <w:rFonts w:ascii="Calibri" w:hAnsi="Calibri"/>
          <w:color w:val="1A1A1A"/>
          <w:sz w:val="22"/>
        </w:rPr>
        <w:t>If you pull your incident records for the last 12 months and find that similar descriptions are categorized the same way less than 70% of the time, PI will struggle to learn from that data. The threshold for meaningful PI accuracy is roughly 75–80% training data consistency within each category.</w:t>
      </w:r>
    </w:p>
    <w:p>
      <w:pPr>
        <w:pStyle w:val="Heading2"/>
      </w:pPr>
      <w:r>
        <w:t>Fewer than 1,000 closed records per category in the training window</w:t>
      </w:r>
    </w:p>
    <w:p>
      <w:pPr>
        <w:spacing w:after="160" w:before="0"/>
      </w:pPr>
      <w:r>
        <w:rPr>
          <w:rFonts w:ascii="Calibri" w:hAnsi="Calibri"/>
          <w:color w:val="1A1A1A"/>
          <w:sz w:val="22"/>
        </w:rPr>
        <w:t>PI models need volume to find reliable patterns. Categories with fewer than 1,000 closed records in the training window produce low-confidence predictions. Low-confidence predictions that are set to auto-apply produce errors; low-confidence predictions that are set to suggest and require agent confirmation add a step without adding value.</w:t>
      </w:r>
    </w:p>
    <w:p>
      <w:pPr>
        <w:pStyle w:val="Heading2"/>
      </w:pPr>
      <w:r>
        <w:t>High reassignment rate in the current tool</w:t>
      </w:r>
    </w:p>
    <w:p>
      <w:pPr>
        <w:spacing w:after="160" w:before="0"/>
      </w:pPr>
      <w:r>
        <w:rPr>
          <w:rFonts w:ascii="Calibri" w:hAnsi="Calibri"/>
          <w:color w:val="1A1A1A"/>
          <w:sz w:val="22"/>
        </w:rPr>
        <w:t>A high reassignment rate in the current ITSM tool is a signal that initial categorization and assignment are frequently wrong. If human agents are wrong 30% of the time, the training data contains 30% incorrect labels — which means the PI model will learn to replicate the errors. Improving assignment accuracy before activating PI is the investment that pays forward into model accuracy.</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PI use cases to activate first?</w:t>
      </w:r>
    </w:p>
    <w:p>
      <w:pPr>
        <w:spacing w:after="160" w:before="0"/>
      </w:pPr>
      <w:r>
        <w:rPr>
          <w:rFonts w:ascii="Calibri" w:hAnsi="Calibri"/>
          <w:color w:val="1A1A1A"/>
          <w:sz w:val="22"/>
        </w:rPr>
        <w:t>Category prediction and assignment group prediction for Incident records are the highest-volume, highest-impact starting use cases. They apply to every incoming ticket and address the most common routing friction points. Extend to Request and Change records after Incident model accuracy is validated.</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is your current monthly incident volume? Does it provide enough data for model training?</w:t>
      </w:r>
    </w:p>
    <w:p>
      <w:pPr>
        <w:pStyle w:val="ListBullet"/>
        <w:spacing w:after="40"/>
        <w:ind w:left="360"/>
      </w:pPr>
      <w:r>
        <w:rPr>
          <w:rFonts w:ascii="Calibri" w:hAnsi="Calibri"/>
          <w:sz w:val="22"/>
        </w:rPr>
        <w:t>Are there specific category families with consistently clean data that could serve as a PI pilot?</w:t>
      </w:r>
    </w:p>
    <w:p>
      <w:pPr>
        <w:pStyle w:val="ListBullet"/>
        <w:spacing w:after="40"/>
        <w:ind w:left="360"/>
      </w:pPr>
      <w:r>
        <w:rPr>
          <w:rFonts w:ascii="Calibri" w:hAnsi="Calibri"/>
          <w:sz w:val="22"/>
        </w:rPr>
        <w:t>Is the priority prediction use case relevant — do you have clear, consistent priority assignment today?</w:t>
      </w:r>
    </w:p>
    <w:p>
      <w:pPr>
        <w:pStyle w:val="Heading2"/>
      </w:pPr>
      <w:r>
        <w:t>Decision 2 — What is the data quality remediation approach?</w:t>
      </w:r>
    </w:p>
    <w:p>
      <w:pPr>
        <w:spacing w:after="160" w:before="0"/>
      </w:pPr>
      <w:r>
        <w:rPr>
          <w:rFonts w:ascii="Calibri" w:hAnsi="Calibri"/>
          <w:color w:val="1A1A1A"/>
          <w:sz w:val="22"/>
        </w:rPr>
        <w:t>Before activating PI on historical data, the team should assess data quality for the training window (typically last 12–24 months). If consistency is below 70%, a targeted remediation is needed: re-categorizing a sample of high-volume incorrectly-categorized records, or limiting the training window to the most recent period when categorization discipline was highest.</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Do you have a way to assess category consistency in your current tool's export?</w:t>
      </w:r>
    </w:p>
    <w:p>
      <w:pPr>
        <w:pStyle w:val="ListBullet"/>
        <w:spacing w:after="40"/>
        <w:ind w:left="360"/>
      </w:pPr>
      <w:r>
        <w:rPr>
          <w:rFonts w:ascii="Calibri" w:hAnsi="Calibri"/>
          <w:sz w:val="22"/>
        </w:rPr>
        <w:t>Is there a team or analyst who could lead a focused data quality audit?</w:t>
      </w:r>
    </w:p>
    <w:p>
      <w:pPr>
        <w:pStyle w:val="ListBullet"/>
        <w:spacing w:after="40"/>
        <w:ind w:left="360"/>
      </w:pPr>
      <w:r>
        <w:rPr>
          <w:rFonts w:ascii="Calibri" w:hAnsi="Calibri"/>
          <w:sz w:val="22"/>
        </w:rPr>
        <w:t>Should we exclude data from before a certain date if categorization practices changed?</w:t>
      </w:r>
    </w:p>
    <w:p>
      <w:pPr>
        <w:pStyle w:val="Heading2"/>
      </w:pPr>
      <w:r>
        <w:t>Decision 3 — What confidence threshold before predictions are auto-applied?</w:t>
      </w:r>
    </w:p>
    <w:p>
      <w:pPr>
        <w:spacing w:after="160" w:before="0"/>
      </w:pPr>
      <w:r>
        <w:rPr>
          <w:rFonts w:ascii="Calibri" w:hAnsi="Calibri"/>
          <w:color w:val="1A1A1A"/>
          <w:sz w:val="22"/>
        </w:rPr>
        <w:t>PI produces a confidence score for each prediction (0–100%). You configure whether predictions above a certain confidence are applied automatically, or whether all predictions are surfaced as suggestions for agent review. The recommended starting configuration is 'suggest only' — show the prediction, let agents confirm or correct — until model accuracy is validated at 80%+.</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Is your organization comfortable with auto-applied predictions in the first 90 days?</w:t>
      </w:r>
    </w:p>
    <w:p>
      <w:pPr>
        <w:pStyle w:val="ListBullet"/>
        <w:spacing w:after="40"/>
        <w:ind w:left="360"/>
      </w:pPr>
      <w:r>
        <w:rPr>
          <w:rFonts w:ascii="Calibri" w:hAnsi="Calibri"/>
          <w:sz w:val="22"/>
        </w:rPr>
        <w:t>What is the tolerance for prediction errors — how many wrong auto-categorizations per day would be acceptable?</w:t>
      </w:r>
    </w:p>
    <w:p>
      <w:pPr>
        <w:pStyle w:val="ListBullet"/>
        <w:spacing w:after="40"/>
        <w:ind w:left="360"/>
      </w:pPr>
      <w:r>
        <w:rPr>
          <w:rFonts w:ascii="Calibri" w:hAnsi="Calibri"/>
          <w:sz w:val="22"/>
        </w:rPr>
        <w:t>How will prediction accuracy be monitored and reported?</w:t>
      </w:r>
    </w:p>
    <w:p>
      <w:pPr>
        <w:spacing w:after="160" w:before="80"/>
      </w:pPr>
      <w:r>
        <w:rPr>
          <w:rFonts w:ascii="Calibri" w:hAnsi="Calibri"/>
          <w:i/>
          <w:color w:val="1A1A1A"/>
          <w:sz w:val="22"/>
        </w:rPr>
        <w:t>Start with 'suggest only' at any confidence level. Move to auto-apply above 85% confidence after 90 days of accuracy monitoring. Revisit thresholds quarterly.</w:t>
      </w:r>
    </w:p>
    <w:p>
      <w:pPr>
        <w:pStyle w:val="Heading2"/>
      </w:pPr>
      <w:r>
        <w:t>Decision 4 — Who governs the PI models post-activation?</w:t>
      </w:r>
    </w:p>
    <w:p>
      <w:pPr>
        <w:spacing w:after="160" w:before="0"/>
      </w:pPr>
      <w:r>
        <w:rPr>
          <w:rFonts w:ascii="Calibri" w:hAnsi="Calibri"/>
          <w:color w:val="1A1A1A"/>
          <w:sz w:val="22"/>
        </w:rPr>
        <w:t>PI models require ongoing governance: monitoring prediction accuracy, scheduling retraining as new data accumulates, and adjusting confidence thresholds as accuracy improves. Without a named owner, PI models drift — they stop improving and agents stop trusting them. The workshop will assign governance responsibility and define the minimum monitoring cadence.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will monitor PI prediction accuracy — the process manager, a data analyst, the service desk lead?</w:t>
      </w:r>
    </w:p>
    <w:p>
      <w:pPr>
        <w:pStyle w:val="ListBullet"/>
        <w:spacing w:after="40"/>
        <w:ind w:left="360"/>
      </w:pPr>
      <w:r>
        <w:rPr>
          <w:rFonts w:ascii="Calibri" w:hAnsi="Calibri"/>
          <w:sz w:val="22"/>
        </w:rPr>
        <w:t>How frequently will models be retrained — monthly, quarterly?</w:t>
      </w:r>
    </w:p>
    <w:p>
      <w:pPr>
        <w:pStyle w:val="ListBullet"/>
        <w:spacing w:after="40"/>
        <w:ind w:left="360"/>
      </w:pPr>
      <w:r>
        <w:rPr>
          <w:rFonts w:ascii="Calibri" w:hAnsi="Calibri"/>
          <w:sz w:val="22"/>
        </w:rPr>
        <w:t>What is the 'accuracy floor' below which a model is suspended and retrained?</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consistency above 75% in the training window</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Agents categorize the same issue type differently — training data is contradictory</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1,000+ closed records per category in the training dataset</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Thin categories with fewer than 500 records — predictions are low-confidence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'Suggest only' mode for first 90 days post-activation</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Auto-apply activated immediately — errors undermine agent trust before accuracy is validated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Named PI model owner with a quarterly accuracy review cadence</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PI activated and left unmonitored — model accuracy drifts without anyone noticing</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 correction data used to improve model — feedback loop active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 corrections not monitored — model not learning from corrections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Prediction accuracy reported to service desk leadership monthly</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Accuracy not tracked — leadership cannot see whether PI is delivering value</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90-day accuracy improvement curve</w:t>
      </w:r>
    </w:p>
    <w:p>
      <w:pPr>
        <w:spacing w:after="160" w:before="0"/>
      </w:pPr>
      <w:r>
        <w:rPr>
          <w:rFonts w:ascii="Calibri" w:hAnsi="Calibri"/>
          <w:color w:val="1A1A1A"/>
          <w:sz w:val="22"/>
        </w:rPr>
        <w:t>A federal agency activated PI in suggest-only mode with a category consistency rate of 72% at training time. In month one, prediction accuracy was 64%. They ran a targeted remediation: agents were coached on the category definitions that had the most inconsistency, and 3,000 historical records were re-categorized. By month three, training data consistency had reached 81%, and prediction accuracy was 83%. They moved to auto-apply for the top three categories at that point.</w:t>
      </w:r>
    </w:p>
    <w:p>
      <w:pPr>
        <w:pStyle w:val="Heading2"/>
      </w:pPr>
      <w:r>
        <w:t>Pattern B — Piloting PI on highest-volume categories first</w:t>
      </w:r>
    </w:p>
    <w:p>
      <w:pPr>
        <w:spacing w:after="160" w:before="0"/>
      </w:pPr>
      <w:r>
        <w:rPr>
          <w:rFonts w:ascii="Calibri" w:hAnsi="Calibri"/>
          <w:color w:val="1A1A1A"/>
          <w:sz w:val="22"/>
        </w:rPr>
        <w:t>A technology company had 35 incident categories, but five of them represented 60% of volume and had the most consistent historical data. They activated PI only on those five categories initially — with auto-apply above 90% confidence — and ran the remaining categories through manual categorization. After 60 days, they expanded PI to the remaining categories as data quality improved across the board.</w:t>
      </w:r>
    </w:p>
    <w:p>
      <w:pPr>
        <w:pStyle w:val="Heading2"/>
      </w:pPr>
      <w:r>
        <w:t>Pattern C — PI as a change management conversation</w:t>
      </w:r>
    </w:p>
    <w:p>
      <w:pPr>
        <w:spacing w:after="160" w:before="0"/>
      </w:pPr>
      <w:r>
        <w:rPr>
          <w:rFonts w:ascii="Calibri" w:hAnsi="Calibri"/>
          <w:color w:val="1A1A1A"/>
          <w:sz w:val="22"/>
        </w:rPr>
        <w:t>A healthcare organization found that activating PI required as much change management as technical configuration. Agents were initially skeptical of AI suggestions and routinely overrode correct predictions. They ran a 30-day 'trust the suggestion' program: tracking which agents overrode suggestions, reviewing whether the override was correct, and sharing the accuracy data with the team. Override rates dropped from 45% to 18% — and agent-confirmed predictions improved model accuracy faster.</w:t>
      </w:r>
    </w:p>
    <w:p>
      <w:r>
        <w:br w:type="page"/>
      </w:r>
    </w:p>
    <w:p>
      <w:pPr>
        <w:pStyle w:val="Heading1"/>
      </w:pPr>
      <w:r>
        <w:t>6.  How We Will Workshop This Together</w:t>
      </w:r>
    </w:p>
    <w:p>
      <w:pPr>
        <w:spacing w:after="160" w:before="0"/>
      </w:pPr>
      <w:r>
        <w:rPr>
          <w:rFonts w:ascii="Calibri" w:hAnsi="Calibri"/>
          <w:color w:val="1A1A1A"/>
          <w:sz w:val="22"/>
        </w:rPr>
        <w:t>The workshop will assess your historical data quality, select PI use cases, configure the confidence threshold model, and assign governance ownership. We will also review your category taxonomy alongside the PI readiness assessment — the two conversations are inseparable. The output is a PI activation plan with a phased rollout timeline and accuracy milestones.</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Incident export from current tool (last 12–24 months) with category, subcategory, assignment group, and resolution date</w:t>
      </w:r>
    </w:p>
    <w:p>
      <w:pPr>
        <w:pStyle w:val="ListBullet"/>
        <w:spacing w:after="40"/>
        <w:ind w:left="360"/>
      </w:pPr>
      <w:r>
        <w:rPr>
          <w:rFonts w:ascii="Calibri" w:hAnsi="Calibri"/>
          <w:sz w:val="22"/>
        </w:rPr>
        <w:t>Category volume report — tickets per category per month</w:t>
      </w:r>
    </w:p>
    <w:p>
      <w:pPr>
        <w:pStyle w:val="ListBullet"/>
        <w:spacing w:after="40"/>
        <w:ind w:left="360"/>
      </w:pPr>
      <w:r>
        <w:rPr>
          <w:rFonts w:ascii="Calibri" w:hAnsi="Calibri"/>
          <w:sz w:val="22"/>
        </w:rPr>
        <w:t>Current reassignment rate data if available</w:t>
      </w:r>
    </w:p>
    <w:p>
      <w:pPr>
        <w:pStyle w:val="ListBullet"/>
        <w:spacing w:after="40"/>
        <w:ind w:left="360"/>
      </w:pPr>
      <w:r>
        <w:rPr>
          <w:rFonts w:ascii="Calibri" w:hAnsi="Calibri"/>
          <w:sz w:val="22"/>
        </w:rPr>
        <w:t>Contact for the person who will own PI model governance post-go-live</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How many incidents does your environment process per month?</w:t>
      </w:r>
    </w:p>
    <w:p>
      <w:pPr>
        <w:pStyle w:val="ListBullet"/>
        <w:spacing w:after="40"/>
        <w:ind w:left="360"/>
      </w:pPr>
      <w:r>
        <w:rPr>
          <w:rFonts w:ascii="Calibri" w:hAnsi="Calibri"/>
          <w:sz w:val="22"/>
        </w:rPr>
        <w:t>Is your current incident categorization consistent across the team, or does it vary by agent?</w:t>
      </w:r>
    </w:p>
    <w:p>
      <w:pPr>
        <w:pStyle w:val="ListBullet"/>
        <w:spacing w:after="40"/>
        <w:ind w:left="360"/>
      </w:pPr>
      <w:r>
        <w:rPr>
          <w:rFonts w:ascii="Calibri" w:hAnsi="Calibri"/>
          <w:sz w:val="22"/>
        </w:rPr>
        <w:t>Have you run any data quality assessment on your historical incident records?</w:t>
      </w:r>
    </w:p>
    <w:p>
      <w:pPr>
        <w:pStyle w:val="ListBullet"/>
        <w:spacing w:after="40"/>
        <w:ind w:left="360"/>
      </w:pPr>
      <w:r>
        <w:rPr>
          <w:rFonts w:ascii="Calibri" w:hAnsi="Calibri"/>
          <w:sz w:val="22"/>
        </w:rPr>
        <w:t>What is your comfort level with AI-applied predictions versus AI-suggested predictions?</w:t>
      </w:r>
    </w:p>
    <w:p>
      <w:pPr>
        <w:pStyle w:val="ListBullet"/>
        <w:spacing w:after="40"/>
        <w:ind w:left="360"/>
      </w:pPr>
      <w:r>
        <w:rPr>
          <w:rFonts w:ascii="Calibri" w:hAnsi="Calibri"/>
          <w:sz w:val="22"/>
        </w:rPr>
        <w:t>Who would own Predictive Intelligence model governance and accuracy monitoring?</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Predictive Intelligence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Background reading for the PI workshop session</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Structure Simplification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 consistency is the primary PI prerequisite — design the two together</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Assist/GenAI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Understand how PI and Now Assist work together in the AI layer</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Predictive Intelligence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