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SLA DISCIPLINE</w:t>
      </w:r>
    </w:p>
    <w:p>
      <w:pPr>
        <w:spacing w:before="0" w:after="40"/>
      </w:pPr>
      <w:r>
        <w:rPr>
          <w:rFonts w:ascii="Calibri" w:hAnsi="Calibri"/>
          <w:b/>
          <w:color w:val="0B1F3A"/>
          <w:sz w:val="56"/>
        </w:rPr>
        <w:t>SLA Discipline</w:t>
      </w:r>
    </w:p>
    <w:p>
      <w:pPr>
        <w:spacing w:before="120" w:after="400"/>
      </w:pPr>
      <w:r>
        <w:rPr>
          <w:rFonts w:ascii="Calibri" w:hAnsi="Calibri"/>
          <w:i/>
          <w:color w:val="0D9488"/>
          <w:sz w:val="24"/>
        </w:rPr>
        <w:t>A decision guide for configuring service level agreements that are accurate, trusted, and actionable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Service Desk Leadership, Incident Managers, Process Owners, IT Leadership</w:t>
      </w:r>
    </w:p>
    <w:p>
      <w:pPr>
        <w:spacing w:after="40"/>
      </w:pPr>
      <w:r>
        <w:rPr>
          <w:rFonts w:ascii="Calibri" w:hAnsi="Calibri"/>
          <w:b w:val="0"/>
          <w:i w:val="0"/>
          <w:color w:val="475569"/>
          <w:sz w:val="20"/>
        </w:rPr>
        <w:t>Companion to: Incident Management Workshop Pre-Read · Assignment Rules Decision Guide</w:t>
      </w:r>
    </w:p>
    <w:p>
      <w:pPr>
        <w:spacing w:after="80"/>
      </w:pPr>
      <w:r>
        <w:rPr>
          <w:rFonts w:ascii="Calibri" w:hAnsi="Calibri"/>
          <w:b w:val="0"/>
          <w:i w:val="0"/>
          <w:color w:val="475569"/>
          <w:sz w:val="20"/>
        </w:rPr>
        <w:t>Document ID: CLT-DT-03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SLAs are the operational contract between IT and the business. When configured correctly, they produce metrics that everyone trusts and dashboards that drive behavior. When configured incorrectly — or, more commonly, accumulated without discipline — they produce numbers that the team games around and leadership stops reading.</w:t>
      </w:r>
    </w:p>
    <w:p>
      <w:pPr>
        <w:spacing w:after="160" w:before="0"/>
      </w:pPr>
      <w:r>
        <w:rPr>
          <w:rFonts w:ascii="Calibri" w:hAnsi="Calibri"/>
          <w:color w:val="1A1A1A"/>
          <w:sz w:val="22"/>
        </w:rPr>
        <w:t>Most organizations arrive at a ServiceNow implementation carrying SLA configurations that were built under different requirements, at different times, and by different people. The result is often a set of SLA definitions that measure different things depending on the ticket type, produce metrics that are technically correct but operationally misleading, and are defended more by habit than by design.</w:t>
      </w:r>
    </w:p>
    <w:p>
      <w:pPr>
        <w:spacing w:after="160" w:before="0"/>
      </w:pPr>
      <w:r>
        <w:rPr>
          <w:rFonts w:ascii="Calibri" w:hAnsi="Calibri"/>
          <w:color w:val="1A1A1A"/>
          <w:sz w:val="22"/>
        </w:rPr>
        <w:t>This guide will help you approach the SLA conversation with a clear framework. The four decisions below are where the work lives. Bring them to the workshop with a view on each — even a provisional one — and the session will move much faster.</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SLA Discipline Matters Now</w:t>
      </w:r>
    </w:p>
    <w:p>
      <w:pPr>
        <w:pStyle w:val="Heading2"/>
      </w:pPr>
      <w:r>
        <w:t>SLA data is the foundation for performance conversations</w:t>
      </w:r>
    </w:p>
    <w:p>
      <w:pPr>
        <w:spacing w:after="160" w:before="0"/>
      </w:pPr>
      <w:r>
        <w:rPr>
          <w:rFonts w:ascii="Calibri" w:hAnsi="Calibri"/>
          <w:color w:val="1A1A1A"/>
          <w:sz w:val="22"/>
        </w:rPr>
        <w:t>Every leadership report that references response times, resolution times, or breach rates draws on SLA data. If the SLA configuration is inconsistent — measuring different things for different ticket types, or including pause logic that few people understand — the numbers it produces will be questioned every time they appear in a deck. Correct SLA configuration produces numbers that survive scrutiny because they measure what they claim to measure.</w:t>
      </w:r>
    </w:p>
    <w:p>
      <w:pPr>
        <w:pStyle w:val="Heading2"/>
      </w:pPr>
      <w:r>
        <w:t>SLAs drive agent behavior in real time</w:t>
      </w:r>
    </w:p>
    <w:p>
      <w:pPr>
        <w:spacing w:after="160" w:before="0"/>
      </w:pPr>
      <w:r>
        <w:rPr>
          <w:rFonts w:ascii="Calibri" w:hAnsi="Calibri"/>
          <w:color w:val="1A1A1A"/>
          <w:sz w:val="22"/>
        </w:rPr>
        <w:t>ServiceNow's SLA engine shows agents how much time remains on each ticket. When the SLA configuration is trusted, agents use that timer to prioritize their queue. When it is not trusted — because the definition includes pauses that reset unrealistically, or because the targets were set aspirationally and are breached almost universally — agents stop looking at the timer and prioritize by instinct instead. The SLA stops being a management tool and becomes a compliance checkbox.</w:t>
      </w:r>
    </w:p>
    <w:p>
      <w:pPr>
        <w:pStyle w:val="Heading2"/>
      </w:pPr>
      <w:r>
        <w:t>AI capabilities use SLA context for prioritization</w:t>
      </w:r>
    </w:p>
    <w:p>
      <w:pPr>
        <w:spacing w:after="160" w:before="0"/>
      </w:pPr>
      <w:r>
        <w:rPr>
          <w:rFonts w:ascii="Calibri" w:hAnsi="Calibri"/>
          <w:color w:val="1A1A1A"/>
          <w:sz w:val="22"/>
        </w:rPr>
        <w:t>Predictive Intelligence and Now Assist both have access to SLA data when making recommendations. A ticket that is approaching SLA breach is a signal the platform uses to adjust recommendation priority. If your SLA definitions are inconsistent, that signal is noise. If they are clean and accurate, it becomes a meaningful input to every automated routing and prioritization decision.</w:t>
      </w:r>
    </w:p>
    <w:p>
      <w:r>
        <w:br w:type="page"/>
      </w:r>
    </w:p>
    <w:p>
      <w:pPr>
        <w:pStyle w:val="Heading1"/>
      </w:pPr>
      <w:r>
        <w:t>2.  The Signals That your SLA configuration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SLA compliance rates are consistently near 100% or near 0%</w:t>
      </w:r>
    </w:p>
    <w:p>
      <w:pPr>
        <w:spacing w:after="160" w:before="0"/>
      </w:pPr>
      <w:r>
        <w:rPr>
          <w:rFonts w:ascii="Calibri" w:hAnsi="Calibri"/>
          <w:color w:val="1A1A1A"/>
          <w:sz w:val="22"/>
        </w:rPr>
        <w:t>A compliance rate that hovers near 100% suggests the targets were set too conservatively — the SLA is measuring a bar the team clears without effort, and provides no signal about performance pressure. A compliance rate near 0% suggests the targets are aspirational and have become irrelevant. Meaningful SLA targets should produce compliance rates that fluctuate with workload — typically in the 85–95% range for a healthy operation.</w:t>
      </w:r>
    </w:p>
    <w:p>
      <w:pPr>
        <w:pStyle w:val="Heading2"/>
      </w:pPr>
      <w:r>
        <w:t>Different teams report different numbers for the same metric</w:t>
      </w:r>
    </w:p>
    <w:p>
      <w:pPr>
        <w:spacing w:after="160" w:before="0"/>
      </w:pPr>
      <w:r>
        <w:rPr>
          <w:rFonts w:ascii="Calibri" w:hAnsi="Calibri"/>
          <w:color w:val="1A1A1A"/>
          <w:sz w:val="22"/>
        </w:rPr>
        <w:t>When the service desk reports a 92% SLA compliance rate and the business reports that responses take too long, the SLA definition and the business expectation have diverged. This almost always means the SLA definition includes pauses, exclusions, or measurement start points that do not match how the business experiences time-to-response.</w:t>
      </w:r>
    </w:p>
    <w:p>
      <w:pPr>
        <w:pStyle w:val="Heading2"/>
      </w:pPr>
      <w:r>
        <w:t>SLA pause logic is complex and inconsistently understood</w:t>
      </w:r>
    </w:p>
    <w:p>
      <w:pPr>
        <w:spacing w:after="160" w:before="0"/>
      </w:pPr>
      <w:r>
        <w:rPr>
          <w:rFonts w:ascii="Calibri" w:hAnsi="Calibri"/>
          <w:color w:val="1A1A1A"/>
          <w:sz w:val="22"/>
        </w:rPr>
        <w:t>SLA pause logic — pausing the timer when a ticket is awaiting customer response, awaiting a vendor, or in a particular state — is a legitimate and useful feature. But when pause conditions accumulate over time without review, they can substantially deflate apparent response times. When new team members cannot explain the pause logic from memory, it has become too complex to be trustworthy.</w:t>
      </w:r>
    </w:p>
    <w:p>
      <w:pPr>
        <w:pStyle w:val="Heading2"/>
      </w:pPr>
      <w:r>
        <w:t>Too many SLA definitions covering similar scenarios</w:t>
      </w:r>
    </w:p>
    <w:p>
      <w:pPr>
        <w:spacing w:after="160" w:before="0"/>
      </w:pPr>
      <w:r>
        <w:rPr>
          <w:rFonts w:ascii="Calibri" w:hAnsi="Calibri"/>
          <w:color w:val="1A1A1A"/>
          <w:sz w:val="22"/>
        </w:rPr>
        <w:t>A common pattern is an SLA definition per priority level, plus additional definitions per service area, plus additional definitions for specific customer groups — resulting in 30 or 40 active SLA definitions. When SLA definitions multiply, gaps appear: tickets fall through definition gaps and are measured by no SLA at all, or measured by the wrong one. The minimum effective set is usually 4–8 definitions for most organizations.</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SLAs will you formalize in ServiceNow?</w:t>
      </w:r>
    </w:p>
    <w:p>
      <w:pPr>
        <w:spacing w:after="160" w:before="0"/>
      </w:pPr>
      <w:r>
        <w:rPr>
          <w:rFonts w:ascii="Calibri" w:hAnsi="Calibri"/>
          <w:color w:val="1A1A1A"/>
          <w:sz w:val="22"/>
        </w:rPr>
        <w:t>The most important SLA design question is scope: which commitments will you formally configure in ServiceNow, and which will you leave unmeasured or measured externally? The recommendation is to start with the SLAs you are already held accountable to — your existing service level targets — and configure exactly those. Add new targets only when there is an explicit business requirement.</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SLA targets is your team currently measured against? Are they documented?</w:t>
      </w:r>
    </w:p>
    <w:p>
      <w:pPr>
        <w:pStyle w:val="ListBullet"/>
        <w:spacing w:after="40"/>
        <w:ind w:left="360"/>
      </w:pPr>
      <w:r>
        <w:rPr>
          <w:rFonts w:ascii="Calibri" w:hAnsi="Calibri"/>
          <w:sz w:val="22"/>
        </w:rPr>
        <w:t>Are there targets you aspire to but do not currently meet consistently?</w:t>
      </w:r>
    </w:p>
    <w:p>
      <w:pPr>
        <w:pStyle w:val="ListBullet"/>
        <w:spacing w:after="40"/>
        <w:ind w:left="360"/>
      </w:pPr>
      <w:r>
        <w:rPr>
          <w:rFonts w:ascii="Calibri" w:hAnsi="Calibri"/>
          <w:sz w:val="22"/>
        </w:rPr>
        <w:t>Are there customer-specific commitments that differ from your standard targets?</w:t>
      </w:r>
    </w:p>
    <w:p>
      <w:pPr>
        <w:spacing w:after="160" w:before="80"/>
      </w:pPr>
      <w:r>
        <w:rPr>
          <w:rFonts w:ascii="Calibri" w:hAnsi="Calibri"/>
          <w:i/>
          <w:color w:val="1A1A1A"/>
          <w:sz w:val="22"/>
        </w:rPr>
        <w:t>Most organizations configure 4–8 SLA definitions: one per priority level for Incident (P1–P4), plus a small number for specific service areas with distinct commitments.</w:t>
      </w:r>
    </w:p>
    <w:p>
      <w:pPr>
        <w:pStyle w:val="Heading2"/>
      </w:pPr>
      <w:r>
        <w:t>Decision 2 — How will you set targets — based on current performance or desired performance?</w:t>
      </w:r>
    </w:p>
    <w:p>
      <w:pPr>
        <w:spacing w:after="160" w:before="0"/>
      </w:pPr>
      <w:r>
        <w:rPr>
          <w:rFonts w:ascii="Calibri" w:hAnsi="Calibri"/>
          <w:color w:val="1A1A1A"/>
          <w:sz w:val="22"/>
        </w:rPr>
        <w:t>Setting SLA targets is a choice between descriptive (what we currently achieve) and aspirational (what we want to achieve). Aspirational targets are legitimate, but they require explicit acknowledgment that initial compliance rates will be low and a plan for closing the gap. Targets set without that acknowledgment tend to be quietly abandoned when breaches become normalized.</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Do you know your current average response and resolution times by priority?</w:t>
      </w:r>
    </w:p>
    <w:p>
      <w:pPr>
        <w:pStyle w:val="ListBullet"/>
        <w:spacing w:after="40"/>
        <w:ind w:left="360"/>
      </w:pPr>
      <w:r>
        <w:rPr>
          <w:rFonts w:ascii="Calibri" w:hAnsi="Calibri"/>
          <w:sz w:val="22"/>
        </w:rPr>
        <w:t>Are there business commitments (contracts, MOUs) that mandate specific targets?</w:t>
      </w:r>
    </w:p>
    <w:p>
      <w:pPr>
        <w:pStyle w:val="ListBullet"/>
        <w:spacing w:after="40"/>
        <w:ind w:left="360"/>
      </w:pPr>
      <w:r>
        <w:rPr>
          <w:rFonts w:ascii="Calibri" w:hAnsi="Calibri"/>
          <w:sz w:val="22"/>
        </w:rPr>
        <w:t>If you set targets at your current performance level, would that be acceptable to leadership?</w:t>
      </w:r>
    </w:p>
    <w:p>
      <w:pPr>
        <w:pStyle w:val="Heading2"/>
      </w:pPr>
      <w:r>
        <w:t>Decision 3 — What pause logic, if any, is appropriate?</w:t>
      </w:r>
    </w:p>
    <w:p>
      <w:pPr>
        <w:spacing w:after="160" w:before="0"/>
      </w:pPr>
      <w:r>
        <w:rPr>
          <w:rFonts w:ascii="Calibri" w:hAnsi="Calibri"/>
          <w:color w:val="1A1A1A"/>
          <w:sz w:val="22"/>
        </w:rPr>
        <w:t>Pause conditions should be used for time periods where the IT team genuinely cannot progress the ticket: awaiting a mandatory response from the user to continue, outside contracted support hours, or awaiting a third-party vendor with no workaround. Pauses should not be used to manufacture compliance on tickets that are simply deprioritized or waiting in a queue.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Do you have contracted support hours that should affect SLA measurement?</w:t>
      </w:r>
    </w:p>
    <w:p>
      <w:pPr>
        <w:pStyle w:val="ListBullet"/>
        <w:spacing w:after="40"/>
        <w:ind w:left="360"/>
      </w:pPr>
      <w:r>
        <w:rPr>
          <w:rFonts w:ascii="Calibri" w:hAnsi="Calibri"/>
          <w:sz w:val="22"/>
        </w:rPr>
        <w:t>Are there ticket types where user response is genuinely required before IT can proceed?</w:t>
      </w:r>
    </w:p>
    <w:p>
      <w:pPr>
        <w:pStyle w:val="ListBullet"/>
        <w:spacing w:after="40"/>
        <w:ind w:left="360"/>
      </w:pPr>
      <w:r>
        <w:rPr>
          <w:rFonts w:ascii="Calibri" w:hAnsi="Calibri"/>
          <w:sz w:val="22"/>
        </w:rPr>
        <w:t>How is 'awaiting vendor' currently handled — and is it legitimate to pause the SLA clock?</w:t>
      </w:r>
    </w:p>
    <w:p>
      <w:pPr>
        <w:spacing w:after="160" w:before="80"/>
      </w:pPr>
      <w:r>
        <w:rPr>
          <w:rFonts w:ascii="Calibri" w:hAnsi="Calibri"/>
          <w:i/>
          <w:color w:val="1A1A1A"/>
          <w:sz w:val="22"/>
        </w:rPr>
        <w:t>Simplest working approach: pause only for out-of-hours (if you have contracted hours) and awaiting-mandatory-user-response. Everything else keeps the clock running.</w:t>
      </w:r>
    </w:p>
    <w:p>
      <w:pPr>
        <w:pStyle w:val="Heading2"/>
      </w:pPr>
      <w:r>
        <w:t>Decision 4 — How will breaches be managed and reported?</w:t>
      </w:r>
    </w:p>
    <w:p>
      <w:pPr>
        <w:spacing w:after="160" w:before="0"/>
      </w:pPr>
      <w:r>
        <w:rPr>
          <w:rFonts w:ascii="Calibri" w:hAnsi="Calibri"/>
          <w:color w:val="1A1A1A"/>
          <w:sz w:val="22"/>
        </w:rPr>
        <w:t>SLA breach management — who is notified when a ticket is approaching breach, who owns the escalation, what happens in reporting — is as important as the SLA definition itself. ServiceNow's OOTB SLA engine sends configurable notifications at configurable thresholds (e.g., 50%, 75%, 90% of time elapsed). The workshop will define the notification matrix and the breach reporting cadence.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should be notified when a Priority 1 ticket is approaching breach?</w:t>
      </w:r>
    </w:p>
    <w:p>
      <w:pPr>
        <w:pStyle w:val="ListBullet"/>
        <w:spacing w:after="40"/>
        <w:ind w:left="360"/>
      </w:pPr>
      <w:r>
        <w:rPr>
          <w:rFonts w:ascii="Calibri" w:hAnsi="Calibri"/>
          <w:sz w:val="22"/>
        </w:rPr>
        <w:t>Is there an escalation path for P1/P2 tickets that are at risk?</w:t>
      </w:r>
    </w:p>
    <w:p>
      <w:pPr>
        <w:pStyle w:val="ListBullet"/>
        <w:spacing w:after="40"/>
        <w:ind w:left="360"/>
      </w:pPr>
      <w:r>
        <w:rPr>
          <w:rFonts w:ascii="Calibri" w:hAnsi="Calibri"/>
          <w:sz w:val="22"/>
        </w:rPr>
        <w:t>How frequently should SLA compliance reports be reviewed — daily, weekly?</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4–8 SLA definitions covering all in-scope scenarios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30+ SLA definitions with gaps and overlaps between them</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Targets reflect actual or explicitly agreed performance goals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Targets set aspirationally without a gap-closure plan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Compliance rates in the 85–95% range, fluctuating with volume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Compliance near 100% or near 0% — both indicate a miscalibrated target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Pause logic is simple, documented, and understood by the team</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Complex pause conditions that few people can explain from memory</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metrics appear in leadership reviews and are discussed</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reports are produced but rarely referenced in performance conversations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Breach notifications go to the right people at the right threshold</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Breaches are discovered after the fact rather than flagged in advance</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Agency with 47 active SLA definitions</w:t>
      </w:r>
    </w:p>
    <w:p>
      <w:pPr>
        <w:spacing w:after="160" w:before="0"/>
      </w:pPr>
      <w:r>
        <w:rPr>
          <w:rFonts w:ascii="Calibri" w:hAnsi="Calibri"/>
          <w:color w:val="1A1A1A"/>
          <w:sz w:val="22"/>
        </w:rPr>
        <w:t>A federal agency carried 47 SLA definitions built across multiple years and organizational changes. Analysis showed that 22 of the definitions covered scenarios already handled by other definitions, and 11 were attached to ticket types that had been retired. Working through the four-decision framework, the agency reduced to 6 definitions — one per priority level — and saw a 40% reduction in tickets that fell through SLA gaps. Leadership reporting became a single dashboard that everyone understood.</w:t>
      </w:r>
    </w:p>
    <w:p>
      <w:pPr>
        <w:pStyle w:val="Heading2"/>
      </w:pPr>
      <w:r>
        <w:t>Pattern B — Healthcare system with near-zero compliance</w:t>
      </w:r>
    </w:p>
    <w:p>
      <w:pPr>
        <w:spacing w:after="160" w:before="0"/>
      </w:pPr>
      <w:r>
        <w:rPr>
          <w:rFonts w:ascii="Calibri" w:hAnsi="Calibri"/>
          <w:color w:val="1A1A1A"/>
          <w:sz w:val="22"/>
        </w:rPr>
        <w:t>A hospital IT team had aspirational SLA targets that produced a 12% compliance rate. Rather than lower targets, the team analyzed the gap: 60% of breaches occurred in P3 tickets that waited more than 48 hours before first touch. The root cause was queue management, not target setting. They kept the targets, changed the P3 queue management process, and compliance rose to 78% within two sprints — without changing a single SLA definition.</w:t>
      </w:r>
    </w:p>
    <w:p>
      <w:pPr>
        <w:pStyle w:val="Heading2"/>
      </w:pPr>
      <w:r>
        <w:t>Pattern C — Technology company simplifying pause logic</w:t>
      </w:r>
    </w:p>
    <w:p>
      <w:pPr>
        <w:spacing w:after="160" w:before="0"/>
      </w:pPr>
      <w:r>
        <w:rPr>
          <w:rFonts w:ascii="Calibri" w:hAnsi="Calibri"/>
          <w:color w:val="1A1A1A"/>
          <w:sz w:val="22"/>
        </w:rPr>
        <w:t>A software company had accumulated 14 pause conditions across their SLA definitions, including pauses for 'awaiting architecture review' and 'pending budget approval.' Auditing the pause conditions revealed that 9 of the 14 were used to park tickets that were deprioritized, not genuinely blocked. Removing those pauses doubled their apparent breach rate in month one — but gave leadership an accurate picture of queue health for the first time. The ensuing conversation about P3 staffing was overdue.</w:t>
      </w:r>
    </w:p>
    <w:p>
      <w:r>
        <w:br w:type="page"/>
      </w:r>
    </w:p>
    <w:p>
      <w:pPr>
        <w:pStyle w:val="Heading1"/>
      </w:pPr>
      <w:r>
        <w:t>6.  How We Will Workshop This Together</w:t>
      </w:r>
    </w:p>
    <w:p>
      <w:pPr>
        <w:spacing w:after="160" w:before="0"/>
      </w:pPr>
      <w:r>
        <w:rPr>
          <w:rFonts w:ascii="Calibri" w:hAnsi="Calibri"/>
          <w:color w:val="1A1A1A"/>
          <w:sz w:val="22"/>
        </w:rPr>
        <w:t>In the workshop, we will start with your current SLA definitions — pulling a list and reviewing volume, compliance rates, and pause usage per definition. From that baseline, we will work through the four decisions: which SLAs to keep, what targets to set, what pause logic to retain, and how breaches will be managed. By the end of the session you will have a draft SLA definition set and a notification matrix ready for configuration.</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Current SLA definition list (export from existing system) with targets per definition</w:t>
      </w:r>
    </w:p>
    <w:p>
      <w:pPr>
        <w:pStyle w:val="ListBullet"/>
        <w:spacing w:after="40"/>
        <w:ind w:left="360"/>
      </w:pPr>
      <w:r>
        <w:rPr>
          <w:rFonts w:ascii="Calibri" w:hAnsi="Calibri"/>
          <w:sz w:val="22"/>
        </w:rPr>
        <w:t>SLA compliance report for the last 6–12 months — by priority level and by service area</w:t>
      </w:r>
    </w:p>
    <w:p>
      <w:pPr>
        <w:pStyle w:val="ListBullet"/>
        <w:spacing w:after="40"/>
        <w:ind w:left="360"/>
      </w:pPr>
      <w:r>
        <w:rPr>
          <w:rFonts w:ascii="Calibri" w:hAnsi="Calibri"/>
          <w:sz w:val="22"/>
        </w:rPr>
        <w:t>Any existing SLA documentation from service contracts, MOUs, or IT policy</w:t>
      </w:r>
    </w:p>
    <w:p>
      <w:pPr>
        <w:pStyle w:val="ListBullet"/>
        <w:spacing w:after="40"/>
        <w:ind w:left="360"/>
      </w:pPr>
      <w:r>
        <w:rPr>
          <w:rFonts w:ascii="Calibri" w:hAnsi="Calibri"/>
          <w:sz w:val="22"/>
        </w:rPr>
        <w:t>List of current breach notification recipients and escalation paths</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How many active SLA definitions does your current system have?</w:t>
      </w:r>
    </w:p>
    <w:p>
      <w:pPr>
        <w:pStyle w:val="ListBullet"/>
        <w:spacing w:after="40"/>
        <w:ind w:left="360"/>
      </w:pPr>
      <w:r>
        <w:rPr>
          <w:rFonts w:ascii="Calibri" w:hAnsi="Calibri"/>
          <w:sz w:val="22"/>
        </w:rPr>
        <w:t>What is your current SLA compliance rate by priority level?</w:t>
      </w:r>
    </w:p>
    <w:p>
      <w:pPr>
        <w:pStyle w:val="ListBullet"/>
        <w:spacing w:after="40"/>
        <w:ind w:left="360"/>
      </w:pPr>
      <w:r>
        <w:rPr>
          <w:rFonts w:ascii="Calibri" w:hAnsi="Calibri"/>
          <w:sz w:val="22"/>
        </w:rPr>
        <w:t>Are there contractual SLA commitments that are non-negotiable?</w:t>
      </w:r>
    </w:p>
    <w:p>
      <w:pPr>
        <w:pStyle w:val="ListBullet"/>
        <w:spacing w:after="40"/>
        <w:ind w:left="360"/>
      </w:pPr>
      <w:r>
        <w:rPr>
          <w:rFonts w:ascii="Calibri" w:hAnsi="Calibri"/>
          <w:sz w:val="22"/>
        </w:rPr>
        <w:t>Does your team currently use pause logic, and do you understand when it applies?</w:t>
      </w:r>
    </w:p>
    <w:p>
      <w:pPr>
        <w:pStyle w:val="ListBullet"/>
        <w:spacing w:after="40"/>
        <w:ind w:left="360"/>
      </w:pPr>
      <w:r>
        <w:rPr>
          <w:rFonts w:ascii="Calibri" w:hAnsi="Calibri"/>
          <w:sz w:val="22"/>
        </w:rPr>
        <w:t>When was the last time your SLA targets were reviewed and updated?</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Management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configuration is part of the Incident Management sprint</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Rules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selection often depends on assignment group — the two are designed together</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data is a primary input to PA dashboards</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SLA Discipline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