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STATE &amp; LIFECYCLE DISCIPLINE</w:t>
      </w:r>
    </w:p>
    <w:p>
      <w:pPr>
        <w:spacing w:before="0" w:after="40"/>
      </w:pPr>
      <w:r>
        <w:rPr>
          <w:rFonts w:ascii="Calibri" w:hAnsi="Calibri"/>
          <w:b/>
          <w:color w:val="0B1F3A"/>
          <w:sz w:val="56"/>
        </w:rPr>
        <w:t>State &amp; Lifecycle</w:t>
      </w:r>
    </w:p>
    <w:p>
      <w:pPr>
        <w:spacing w:before="0" w:after="40"/>
      </w:pPr>
      <w:r>
        <w:rPr>
          <w:rFonts w:ascii="Calibri" w:hAnsi="Calibri"/>
          <w:b/>
          <w:color w:val="0B1F3A"/>
          <w:sz w:val="56"/>
        </w:rPr>
        <w:t>Discipline</w:t>
      </w:r>
    </w:p>
    <w:p>
      <w:pPr>
        <w:spacing w:before="120" w:after="400"/>
      </w:pPr>
      <w:r>
        <w:rPr>
          <w:rFonts w:ascii="Calibri" w:hAnsi="Calibri"/>
          <w:i/>
          <w:color w:val="0D9488"/>
          <w:sz w:val="24"/>
        </w:rPr>
        <w:t>A decision guide for defining record states that reflect real operational stages — and keep your data trustworthy</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Process Managers, Service Desk Leadership, Incident and Change Managers, Reporting Owners</w:t>
      </w:r>
    </w:p>
    <w:p>
      <w:pPr>
        <w:spacing w:after="40"/>
      </w:pPr>
      <w:r>
        <w:rPr>
          <w:rFonts w:ascii="Calibri" w:hAnsi="Calibri"/>
          <w:b w:val="0"/>
          <w:i w:val="0"/>
          <w:color w:val="475569"/>
          <w:sz w:val="20"/>
        </w:rPr>
        <w:t>Companion to: Incident Management Pre-Read · Change Management Pre-Read · Performance Analytics Pre-Read</w:t>
      </w:r>
    </w:p>
    <w:p>
      <w:pPr>
        <w:spacing w:after="80"/>
      </w:pPr>
      <w:r>
        <w:rPr>
          <w:rFonts w:ascii="Calibri" w:hAnsi="Calibri"/>
          <w:b w:val="0"/>
          <w:i w:val="0"/>
          <w:color w:val="475569"/>
          <w:sz w:val="20"/>
        </w:rPr>
        <w:t>Document ID: CLT-DT-06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Every ServiceNow record — incident, request, change, problem — moves through a lifecycle: it is created, worked, resolved, and closed. The states in that lifecycle are not cosmetic. They determine which SLAs are running, which workflow steps are triggered, which fields are editable, and what appears in every dashboard and report your team produces.</w:t>
      </w:r>
    </w:p>
    <w:p>
      <w:pPr>
        <w:spacing w:after="160" w:before="0"/>
      </w:pPr>
      <w:r>
        <w:rPr>
          <w:rFonts w:ascii="Calibri" w:hAnsi="Calibri"/>
          <w:color w:val="1A1A1A"/>
          <w:sz w:val="22"/>
        </w:rPr>
        <w:t>Lifecycle design is one of the most consequential decisions in an ITSM implementation, and one of the least visible until something goes wrong. When states are well-defined, record data accurately reflects operational reality and reports can be trusted. When states are vague or inconsistently used, records accumulate in limbo states, metrics mislead, and the dashboard becomes an exercise in interpretation rather than measurement.</w:t>
      </w:r>
    </w:p>
    <w:p>
      <w:pPr>
        <w:spacing w:after="160" w:before="0"/>
      </w:pPr>
      <w:r>
        <w:rPr>
          <w:rFonts w:ascii="Calibri" w:hAnsi="Calibri"/>
          <w:color w:val="1A1A1A"/>
          <w:sz w:val="22"/>
        </w:rPr>
        <w:t>The four decisions below give you the framework for approaching lifecycle design deliberately — starting with the OOTB state model and adding only what your process genuinely requires.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State &amp; Lifecycle Discipline Matters Now</w:t>
      </w:r>
    </w:p>
    <w:p>
      <w:pPr>
        <w:pStyle w:val="Heading2"/>
      </w:pPr>
      <w:r>
        <w:t>States determine what SLAs measure</w:t>
      </w:r>
    </w:p>
    <w:p>
      <w:pPr>
        <w:spacing w:after="160" w:before="0"/>
      </w:pPr>
      <w:r>
        <w:rPr>
          <w:rFonts w:ascii="Calibri" w:hAnsi="Calibri"/>
          <w:color w:val="1A1A1A"/>
          <w:sz w:val="22"/>
        </w:rPr>
        <w:t>SLA clocks start, pause, and stop based on state changes. If the state model does not accurately reflect when work has actually started and stopped, the SLA data will not accurately reflect actual performance. The most common example: tickets parked in 'In Progress' while waiting for a vendor response — the SLA clock runs while no one is actually progressing the work. The correct fix is a state ('Awaiting Vendor') that pauses the SLA, not a workaround in the SLA pause logic.</w:t>
      </w:r>
    </w:p>
    <w:p>
      <w:pPr>
        <w:pStyle w:val="Heading2"/>
      </w:pPr>
      <w:r>
        <w:t>State data drives every operational report</w:t>
      </w:r>
    </w:p>
    <w:p>
      <w:pPr>
        <w:spacing w:after="160" w:before="0"/>
      </w:pPr>
      <w:r>
        <w:rPr>
          <w:rFonts w:ascii="Calibri" w:hAnsi="Calibri"/>
          <w:color w:val="1A1A1A"/>
          <w:sz w:val="22"/>
        </w:rPr>
        <w:t>How many tickets are open? How long has this one been open? What is the queue depth by state? Every operational question draws on state data. When agents use states inconsistently — parking tickets in 'New' because 'In Progress' feels like a commitment, or closing tickets before the user confirms resolution — the state data stops reflecting operational reality, and reports stop being useful for management.</w:t>
      </w:r>
    </w:p>
    <w:p>
      <w:pPr>
        <w:pStyle w:val="Heading2"/>
      </w:pPr>
      <w:r>
        <w:t>State transitions can enforce data quality</w:t>
      </w:r>
    </w:p>
    <w:p>
      <w:pPr>
        <w:spacing w:after="160" w:before="0"/>
      </w:pPr>
      <w:r>
        <w:rPr>
          <w:rFonts w:ascii="Calibri" w:hAnsi="Calibri"/>
          <w:color w:val="1A1A1A"/>
          <w:sz w:val="22"/>
        </w:rPr>
        <w:t>ServiceNow allows mandatory fields to be required at specific state transitions — an agent cannot close a ticket without entering a resolution note, or cannot move a Change to 'Implement' without a test plan attached. This is one of the most effective data quality enforcement tools in the platform, and it only works when the state model is clean enough to make those mandatory fields meaningful.</w:t>
      </w:r>
    </w:p>
    <w:p>
      <w:r>
        <w:br w:type="page"/>
      </w:r>
    </w:p>
    <w:p>
      <w:pPr>
        <w:pStyle w:val="Heading1"/>
      </w:pPr>
      <w:r>
        <w:t>2.  The Signals That your record lifecycle configuration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Large volumes of tickets sitting in intermediate states for extended periods</w:t>
      </w:r>
    </w:p>
    <w:p>
      <w:pPr>
        <w:spacing w:after="160" w:before="0"/>
      </w:pPr>
      <w:r>
        <w:rPr>
          <w:rFonts w:ascii="Calibri" w:hAnsi="Calibri"/>
          <w:color w:val="1A1A1A"/>
          <w:sz w:val="22"/>
        </w:rPr>
        <w:t>When a significant portion of your open tickets are in 'In Progress,' 'Pending,' or 'On Hold' for more than 5–7 days without activity, the states are being used as parking lots rather than progress indicators. This is almost always a state definition problem — the available states do not distinguish between 'actively being worked' and 'waiting for something external.'</w:t>
      </w:r>
    </w:p>
    <w:p>
      <w:pPr>
        <w:pStyle w:val="Heading2"/>
      </w:pPr>
      <w:r>
        <w:t>Resolution and closure are treated as the same state</w:t>
      </w:r>
    </w:p>
    <w:p>
      <w:pPr>
        <w:spacing w:after="160" w:before="0"/>
      </w:pPr>
      <w:r>
        <w:rPr>
          <w:rFonts w:ascii="Calibri" w:hAnsi="Calibri"/>
          <w:color w:val="1A1A1A"/>
          <w:sz w:val="22"/>
        </w:rPr>
        <w:t>In many legacy configurations, tickets jump directly from 'In Progress' to 'Closed' without a 'Resolved' state. This skips the resolution confirmation window — the period during which the user can confirm the issue is fixed before the ticket is formally closed. Without it, reopened tickets appear as new tickets rather than as resolutions that failed, making reopen rates invisible.</w:t>
      </w:r>
    </w:p>
    <w:p>
      <w:pPr>
        <w:pStyle w:val="Heading2"/>
      </w:pPr>
      <w:r>
        <w:t>Agents disagree on when to use a specific state</w:t>
      </w:r>
    </w:p>
    <w:p>
      <w:pPr>
        <w:spacing w:after="160" w:before="0"/>
      </w:pPr>
      <w:r>
        <w:rPr>
          <w:rFonts w:ascii="Calibri" w:hAnsi="Calibri"/>
          <w:color w:val="1A1A1A"/>
          <w:sz w:val="22"/>
        </w:rPr>
        <w:t>If you ask three agents what 'Pending' means, and get three different answers, the state is not defined operationally. Vague state definitions are always a data quality problem in disguise: the metric 'number of pending tickets' means different things on different days, depending on who moved what into 'Pending' for what reason.</w:t>
      </w:r>
    </w:p>
    <w:p>
      <w:pPr>
        <w:pStyle w:val="Heading2"/>
      </w:pPr>
      <w:r>
        <w:t>Custom states were added for specific workflows and never cleaned up</w:t>
      </w:r>
    </w:p>
    <w:p>
      <w:pPr>
        <w:spacing w:after="160" w:before="0"/>
      </w:pPr>
      <w:r>
        <w:rPr>
          <w:rFonts w:ascii="Calibri" w:hAnsi="Calibri"/>
          <w:color w:val="1A1A1A"/>
          <w:sz w:val="22"/>
        </w:rPr>
        <w:t>Custom states are occasionally legitimate. More often, they were added to handle a specific scenario that could have been handled with a field value, a category, or an existing state used correctly. Custom states that exist for a single process area create confusion across teams that do not use that process area but see the state in their views.</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OOTB states to adopt, and what each one means operationally</w:t>
      </w:r>
    </w:p>
    <w:p>
      <w:pPr>
        <w:spacing w:after="160" w:before="0"/>
      </w:pPr>
      <w:r>
        <w:rPr>
          <w:rFonts w:ascii="Calibri" w:hAnsi="Calibri"/>
          <w:color w:val="1A1A1A"/>
          <w:sz w:val="22"/>
        </w:rPr>
        <w:t>ServiceNow's OOTB Incident lifecycle — New, In Progress, On Hold, Resolved, Closed — covers the overwhelming majority of operational scenarios. The workshop will define exactly what each state means in operational terms: what is happening (or not happening) to a ticket in each state, and who is responsible for the next action.</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Does 'In Progress' mean an agent is actively working, or that the ticket has been assigned?</w:t>
      </w:r>
    </w:p>
    <w:p>
      <w:pPr>
        <w:pStyle w:val="ListBullet"/>
        <w:spacing w:after="40"/>
        <w:ind w:left="360"/>
      </w:pPr>
      <w:r>
        <w:rPr>
          <w:rFonts w:ascii="Calibri" w:hAnsi="Calibri"/>
          <w:sz w:val="22"/>
        </w:rPr>
        <w:t>What does 'On Hold' mean — awaiting user response, awaiting vendor, or something else?</w:t>
      </w:r>
    </w:p>
    <w:p>
      <w:pPr>
        <w:pStyle w:val="ListBullet"/>
        <w:spacing w:after="40"/>
        <w:ind w:left="360"/>
      </w:pPr>
      <w:r>
        <w:rPr>
          <w:rFonts w:ascii="Calibri" w:hAnsi="Calibri"/>
          <w:sz w:val="22"/>
        </w:rPr>
        <w:t>Is there a 'Resolved' state where the fix has been applied but the user has not confirmed?</w:t>
      </w:r>
    </w:p>
    <w:p>
      <w:pPr>
        <w:spacing w:after="160" w:before="80"/>
      </w:pPr>
      <w:r>
        <w:rPr>
          <w:rFonts w:ascii="Calibri" w:hAnsi="Calibri"/>
          <w:i/>
          <w:color w:val="1A1A1A"/>
          <w:sz w:val="22"/>
        </w:rPr>
        <w:t>The OOTB state set covers most scenarios. The key design work is defining each state operationally — not adding states, but agreeing on what each existing state means.</w:t>
      </w:r>
    </w:p>
    <w:p>
      <w:pPr>
        <w:pStyle w:val="Heading2"/>
      </w:pPr>
      <w:r>
        <w:t>Decision 2 — What mandatory fields are required at each state transition?</w:t>
      </w:r>
    </w:p>
    <w:p>
      <w:pPr>
        <w:spacing w:after="160" w:before="0"/>
      </w:pPr>
      <w:r>
        <w:rPr>
          <w:rFonts w:ascii="Calibri" w:hAnsi="Calibri"/>
          <w:color w:val="1A1A1A"/>
          <w:sz w:val="22"/>
        </w:rPr>
        <w:t>For each state transition that produces meaningful data — specifically resolution and closure — define the minimum fields that must be populated before the transition is allowed. For Incident resolution: Resolution Code and Resolution Notes. For Incident closure: user confirmation or auto-close timer. These fields are the raw material for your knowledge base and your AI training data.</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information does your team need to capture at resolution to make that data useful?</w:t>
      </w:r>
    </w:p>
    <w:p>
      <w:pPr>
        <w:pStyle w:val="ListBullet"/>
        <w:spacing w:after="40"/>
        <w:ind w:left="360"/>
      </w:pPr>
      <w:r>
        <w:rPr>
          <w:rFonts w:ascii="Calibri" w:hAnsi="Calibri"/>
          <w:sz w:val="22"/>
        </w:rPr>
        <w:t>Is there a resolution code taxonomy that needs to be defined or imported?</w:t>
      </w:r>
    </w:p>
    <w:p>
      <w:pPr>
        <w:pStyle w:val="ListBullet"/>
        <w:spacing w:after="40"/>
        <w:ind w:left="360"/>
      </w:pPr>
      <w:r>
        <w:rPr>
          <w:rFonts w:ascii="Calibri" w:hAnsi="Calibri"/>
          <w:sz w:val="22"/>
        </w:rPr>
        <w:t>What is your auto-close policy — how long after resolution is a ticket closed if the user does not respond?</w:t>
      </w:r>
    </w:p>
    <w:p>
      <w:pPr>
        <w:pStyle w:val="Heading2"/>
      </w:pPr>
      <w:r>
        <w:t>Decision 3 — How will auto-closure be configured?</w:t>
      </w:r>
    </w:p>
    <w:p>
      <w:pPr>
        <w:spacing w:after="160" w:before="0"/>
      </w:pPr>
      <w:r>
        <w:rPr>
          <w:rFonts w:ascii="Calibri" w:hAnsi="Calibri"/>
          <w:color w:val="1A1A1A"/>
          <w:sz w:val="22"/>
        </w:rPr>
        <w:t>Auto-closure is the timer that moves a Resolved ticket to Closed after a defined period without user activity. The OOTB configuration supports a configurable number of days (typically 3–7). The workshop will calibrate this based on your user population and service level expectations.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How long should users have to reopen a resolved ticket before it auto-closes?</w:t>
      </w:r>
    </w:p>
    <w:p>
      <w:pPr>
        <w:pStyle w:val="ListBullet"/>
        <w:spacing w:after="40"/>
        <w:ind w:left="360"/>
      </w:pPr>
      <w:r>
        <w:rPr>
          <w:rFonts w:ascii="Calibri" w:hAnsi="Calibri"/>
          <w:sz w:val="22"/>
        </w:rPr>
        <w:t>Should auto-closure timing differ by priority — shorter for P4, longer for P1?</w:t>
      </w:r>
    </w:p>
    <w:p>
      <w:pPr>
        <w:pStyle w:val="ListBullet"/>
        <w:spacing w:after="40"/>
        <w:ind w:left="360"/>
      </w:pPr>
      <w:r>
        <w:rPr>
          <w:rFonts w:ascii="Calibri" w:hAnsi="Calibri"/>
          <w:sz w:val="22"/>
        </w:rPr>
        <w:t>What notification should users receive before auto-closure?</w:t>
      </w:r>
    </w:p>
    <w:p>
      <w:pPr>
        <w:pStyle w:val="Heading2"/>
      </w:pPr>
      <w:r>
        <w:t>Decision 4 — Which process areas need non-OOTB state additions, and why?</w:t>
      </w:r>
    </w:p>
    <w:p>
      <w:pPr>
        <w:spacing w:after="160" w:before="0"/>
      </w:pPr>
      <w:r>
        <w:rPr>
          <w:rFonts w:ascii="Calibri" w:hAnsi="Calibri"/>
          <w:color w:val="1A1A1A"/>
          <w:sz w:val="22"/>
        </w:rPr>
        <w:t>Before adding any state, the workshop will ask: can this scenario be handled with an existing OOTB state plus a field value? In most cases, the answer is yes. Custom states should be approved only when an existing state would create genuinely misleading data — not simply because the existing label feels imprecise.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there process steps that have no corresponding OOTB state?</w:t>
      </w:r>
    </w:p>
    <w:p>
      <w:pPr>
        <w:pStyle w:val="ListBullet"/>
        <w:spacing w:after="40"/>
        <w:ind w:left="360"/>
      </w:pPr>
      <w:r>
        <w:rPr>
          <w:rFonts w:ascii="Calibri" w:hAnsi="Calibri"/>
          <w:sz w:val="22"/>
        </w:rPr>
        <w:t>If a custom state were added, which teams would it affect — just the requesting team, or all teams?</w:t>
      </w:r>
    </w:p>
    <w:p>
      <w:pPr>
        <w:pStyle w:val="ListBullet"/>
        <w:spacing w:after="40"/>
        <w:ind w:left="360"/>
      </w:pPr>
      <w:r>
        <w:rPr>
          <w:rFonts w:ascii="Calibri" w:hAnsi="Calibri"/>
          <w:sz w:val="22"/>
        </w:rPr>
        <w:t>Could a 'substate' field accomplish the same goal without modifying the core lifecycle?</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state has a documented operational definition that agents can recite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State definitions are vague or vary by team</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Tickets move through states in proportion to actual work progress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Large pools of tickets parked in intermediate states for weeks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Resolved and Closed are distinct states with a user-confirmation window</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Tickets jump directly from In Progress to Closed with no confirmation step</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Mandatory fields at closure produce complete, usable resolution data</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Closure allows empty resolution fields — data is missing for knowledge and AI</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states are rare, documented, and process-area-specific</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states accumulate without review across multiple process areas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Auto-closure timer is configured and users are notified before it fires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Auto-closure is not configured — tickets sit in Resolved indefinitely</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Reducing 14 custom states to 2</w:t>
      </w:r>
    </w:p>
    <w:p>
      <w:pPr>
        <w:spacing w:after="160" w:before="0"/>
      </w:pPr>
      <w:r>
        <w:rPr>
          <w:rFonts w:ascii="Calibri" w:hAnsi="Calibri"/>
          <w:color w:val="1A1A1A"/>
          <w:sz w:val="22"/>
        </w:rPr>
        <w:t>A federal agency had added 14 custom states across three process areas over five years. Auditing each one, they found that 12 of the 14 could be handled by the OOTB state set combined with a 'substate' field that did not affect SLA logic or reporting. They retained 2 custom states that represented genuinely distinct operational phases with different responsible parties, and retired the other 12. Agent confusion about state usage dropped immediately — the training materials became a single page.</w:t>
      </w:r>
    </w:p>
    <w:p>
      <w:pPr>
        <w:pStyle w:val="Heading2"/>
      </w:pPr>
      <w:r>
        <w:t>Pattern B — Defining 'On Hold' consistently across 6 teams</w:t>
      </w:r>
    </w:p>
    <w:p>
      <w:pPr>
        <w:spacing w:after="160" w:before="0"/>
      </w:pPr>
      <w:r>
        <w:rPr>
          <w:rFonts w:ascii="Calibri" w:hAnsi="Calibri"/>
          <w:color w:val="1A1A1A"/>
          <w:sz w:val="22"/>
        </w:rPr>
        <w:t>A healthcare IT organization found that 'On Hold' was interpreted differently across six resolver teams — ranging from 'awaiting user callback' to 'deprioritized for now.' They produced a one-page On Hold decision guide defining three valid On Hold reasons (awaiting user, awaiting vendor, approved exception) with specific field requirements for each. Within 30 days of publishing, 'On Hold' queue accuracy improved enough for management to trust the state count in dashboards for the first time.</w:t>
      </w:r>
    </w:p>
    <w:p>
      <w:pPr>
        <w:pStyle w:val="Heading2"/>
      </w:pPr>
      <w:r>
        <w:t>Pattern C — Mandatory resolution notes as knowledge source</w:t>
      </w:r>
    </w:p>
    <w:p>
      <w:pPr>
        <w:spacing w:after="160" w:before="0"/>
      </w:pPr>
      <w:r>
        <w:rPr>
          <w:rFonts w:ascii="Calibri" w:hAnsi="Calibri"/>
          <w:color w:val="1A1A1A"/>
          <w:sz w:val="22"/>
        </w:rPr>
        <w:t>A technology company implemented mandatory Resolution Notes and Resolution Code at incident closure as part of their state lifecycle design. In the first 90 days post go-live, their knowledge management team identified 40 article candidates directly from resolution notes — articles that would previously have required an agent to proactively author them. Now Assist for Knowledge was then used to draft those articles from the resolution notes, reducing authoring time by over 60%.</w:t>
      </w:r>
    </w:p>
    <w:p>
      <w:r>
        <w:br w:type="page"/>
      </w:r>
    </w:p>
    <w:p>
      <w:pPr>
        <w:pStyle w:val="Heading1"/>
      </w:pPr>
      <w:r>
        <w:t>6.  How We Will Workshop This Together</w:t>
      </w:r>
    </w:p>
    <w:p>
      <w:pPr>
        <w:spacing w:after="160" w:before="0"/>
      </w:pPr>
      <w:r>
        <w:rPr>
          <w:rFonts w:ascii="Calibri" w:hAnsi="Calibri"/>
          <w:color w:val="1A1A1A"/>
          <w:sz w:val="22"/>
        </w:rPr>
        <w:t>The workshop will define the operational meaning of each OOTB state for your primary process areas (Incident, Request, Change), configure mandatory field requirements at each key transition, set the auto-closure timer, and review any proposed custom states against the 'can OOTB cover this?' test. The output is a lifecycle design document ready for configuration.</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Current state list for Incident, Request, and Change — including any custom states</w:t>
      </w:r>
    </w:p>
    <w:p>
      <w:pPr>
        <w:pStyle w:val="ListBullet"/>
        <w:spacing w:after="40"/>
        <w:ind w:left="360"/>
      </w:pPr>
      <w:r>
        <w:rPr>
          <w:rFonts w:ascii="Calibri" w:hAnsi="Calibri"/>
          <w:sz w:val="22"/>
        </w:rPr>
        <w:t>Current auto-closure configuration (if any)</w:t>
      </w:r>
    </w:p>
    <w:p>
      <w:pPr>
        <w:pStyle w:val="ListBullet"/>
        <w:spacing w:after="40"/>
        <w:ind w:left="360"/>
      </w:pPr>
      <w:r>
        <w:rPr>
          <w:rFonts w:ascii="Calibri" w:hAnsi="Calibri"/>
          <w:sz w:val="22"/>
        </w:rPr>
        <w:t>Resolution code taxonomy if one exists</w:t>
      </w:r>
    </w:p>
    <w:p>
      <w:pPr>
        <w:pStyle w:val="ListBullet"/>
        <w:spacing w:after="40"/>
        <w:ind w:left="360"/>
      </w:pPr>
      <w:r>
        <w:rPr>
          <w:rFonts w:ascii="Calibri" w:hAnsi="Calibri"/>
          <w:sz w:val="22"/>
        </w:rPr>
        <w:t>Any process documentation that references specific states or state transitions</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Do your agents have a shared understanding of what each state means, or does it vary by team?</w:t>
      </w:r>
    </w:p>
    <w:p>
      <w:pPr>
        <w:pStyle w:val="ListBullet"/>
        <w:spacing w:after="40"/>
        <w:ind w:left="360"/>
      </w:pPr>
      <w:r>
        <w:rPr>
          <w:rFonts w:ascii="Calibri" w:hAnsi="Calibri"/>
          <w:sz w:val="22"/>
        </w:rPr>
        <w:t>What percentage of your open incidents are in 'On Hold' or 'Pending' at any given time?</w:t>
      </w:r>
    </w:p>
    <w:p>
      <w:pPr>
        <w:pStyle w:val="ListBullet"/>
        <w:spacing w:after="40"/>
        <w:ind w:left="360"/>
      </w:pPr>
      <w:r>
        <w:rPr>
          <w:rFonts w:ascii="Calibri" w:hAnsi="Calibri"/>
          <w:sz w:val="22"/>
        </w:rPr>
        <w:t>Do you currently require agents to enter resolution notes before closing a ticket?</w:t>
      </w:r>
    </w:p>
    <w:p>
      <w:pPr>
        <w:pStyle w:val="ListBullet"/>
        <w:spacing w:after="40"/>
        <w:ind w:left="360"/>
      </w:pPr>
      <w:r>
        <w:rPr>
          <w:rFonts w:ascii="Calibri" w:hAnsi="Calibri"/>
          <w:sz w:val="22"/>
        </w:rPr>
        <w:t>Have you added custom states beyond the OOTB set? If so, which process areas use them?</w:t>
      </w:r>
    </w:p>
    <w:p>
      <w:pPr>
        <w:pStyle w:val="ListBullet"/>
        <w:spacing w:after="40"/>
        <w:ind w:left="360"/>
      </w:pPr>
      <w:r>
        <w:rPr>
          <w:rFonts w:ascii="Calibri" w:hAnsi="Calibri"/>
          <w:sz w:val="22"/>
        </w:rPr>
        <w:t>What is your current auto-closure policy?</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State lifecycle is configured during the Incident Management sprint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Discipline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State transitions drive SLA pause and stop logic — design them together</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Article Curation Decision Guide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Resolution notes at closure feed the knowledge base — the connection is direct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State &amp; Lifecycle Discipline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