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TECHNICAL DEBT ELIMINATION ROADMAP</w:t>
      </w:r>
    </w:p>
    <w:p>
      <w:pPr>
        <w:spacing w:before="0" w:after="40"/>
      </w:pPr>
      <w:r>
        <w:rPr>
          <w:rFonts w:ascii="Calibri" w:hAnsi="Calibri"/>
          <w:b/>
          <w:color w:val="0B1F3A"/>
          <w:sz w:val="56"/>
        </w:rPr>
        <w:t>Technical Debt Elimination</w:t>
      </w:r>
    </w:p>
    <w:p>
      <w:pPr>
        <w:spacing w:before="0" w:after="40"/>
      </w:pPr>
      <w:r>
        <w:rPr>
          <w:rFonts w:ascii="Calibri" w:hAnsi="Calibri"/>
          <w:b/>
          <w:color w:val="0B1F3A"/>
          <w:sz w:val="56"/>
        </w:rPr>
        <w:t>Roadmap</w:t>
      </w:r>
    </w:p>
    <w:p>
      <w:pPr>
        <w:spacing w:before="120" w:after="400"/>
      </w:pPr>
      <w:r>
        <w:rPr>
          <w:rFonts w:ascii="Calibri" w:hAnsi="Calibri"/>
          <w:i/>
          <w:color w:val="0D9488"/>
          <w:sz w:val="24"/>
        </w:rPr>
        <w:t>A decision guide for sequencing the reduction of accumulated customization and configuration debt</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Project Sponsors, Platform Owners, Process Owners, Enterprise Architects</w:t>
      </w:r>
    </w:p>
    <w:p>
      <w:pPr>
        <w:spacing w:after="40"/>
      </w:pPr>
      <w:r>
        <w:rPr>
          <w:rFonts w:ascii="Calibri" w:hAnsi="Calibri"/>
          <w:b w:val="0"/>
          <w:i w:val="0"/>
          <w:color w:val="475569"/>
          <w:sz w:val="20"/>
        </w:rPr>
        <w:t>Companion to: Custom vs. OOTB Decision Framework · 18-Week OOTB-First Journey Overview</w:t>
      </w:r>
    </w:p>
    <w:p>
      <w:pPr>
        <w:spacing w:after="80"/>
      </w:pPr>
      <w:r>
        <w:rPr>
          <w:rFonts w:ascii="Calibri" w:hAnsi="Calibri"/>
          <w:b w:val="0"/>
          <w:i w:val="0"/>
          <w:color w:val="475569"/>
          <w:sz w:val="20"/>
        </w:rPr>
        <w:t>Document ID: CLT-DT-14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Technical debt in a ServiceNow environment accumulates in predictable ways: customizations built for requirements that have since changed, configurations tuned for a process that no longer operates that way, integrations built when no connector existed and never replaced when one became available. This debt is invisible until it becomes expensive — and it becomes expensive when upgrades are delayed, when new capabilities cannot be activated, or when the platform team is spending more time on maintenance than on new value.</w:t>
      </w:r>
    </w:p>
    <w:p>
      <w:pPr>
        <w:spacing w:after="160" w:before="0"/>
      </w:pPr>
      <w:r>
        <w:rPr>
          <w:rFonts w:ascii="Calibri" w:hAnsi="Calibri"/>
          <w:color w:val="1A1A1A"/>
          <w:sz w:val="22"/>
        </w:rPr>
        <w:t>This engagement is organized around preventing new debt from accumulating. But most organizations also arrive with existing debt — a legacy of customizations, workarounds, and configurations that served their purpose at the time but now constrain the platform's ability to deliver AI value.</w:t>
      </w:r>
    </w:p>
    <w:p>
      <w:pPr>
        <w:spacing w:after="160" w:before="0"/>
      </w:pPr>
      <w:r>
        <w:rPr>
          <w:rFonts w:ascii="Calibri" w:hAnsi="Calibri"/>
          <w:color w:val="1A1A1A"/>
          <w:sz w:val="22"/>
        </w:rPr>
        <w:t>This guide helps you think about that existing debt: how to classify it, how to sequence its elimination, and how to govern future requests to prevent the cycle from repeating. It pairs with the Custom-vs-OOTB Decision Framework, which governs new requests. Together, the two guides define a complete technical debt management posture.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Technical Debt Elimination Roadmap Matters Now</w:t>
      </w:r>
    </w:p>
    <w:p>
      <w:pPr>
        <w:pStyle w:val="Heading2"/>
      </w:pPr>
      <w:r>
        <w:t>Technical debt blocks AI realization</w:t>
      </w:r>
    </w:p>
    <w:p>
      <w:pPr>
        <w:spacing w:after="160" w:before="0"/>
      </w:pPr>
      <w:r>
        <w:rPr>
          <w:rFonts w:ascii="Calibri" w:hAnsi="Calibri"/>
          <w:color w:val="1A1A1A"/>
          <w:sz w:val="22"/>
        </w:rPr>
        <w:t>ServiceNow's AI capabilities — Predictive Intelligence, Now Assist, Virtual Agent with generative answers — require a clean, OOTB-aligned data and process foundation to deliver value. Customizations that modify the data model create fields that AI capabilities do not know about. Custom workflows that bypass OOTB processes create data gaps that AI cannot bridge. The most direct path to AI realization is reducing the customization surface that sits between your data and the AI layer.</w:t>
      </w:r>
    </w:p>
    <w:p>
      <w:pPr>
        <w:pStyle w:val="Heading2"/>
      </w:pPr>
      <w:r>
        <w:t>Upgrade velocity is inversely proportional to customization volume</w:t>
      </w:r>
    </w:p>
    <w:p>
      <w:pPr>
        <w:spacing w:after="160" w:before="0"/>
      </w:pPr>
      <w:r>
        <w:rPr>
          <w:rFonts w:ascii="Calibri" w:hAnsi="Calibri"/>
          <w:color w:val="1A1A1A"/>
          <w:sz w:val="22"/>
        </w:rPr>
        <w:t>Every customization adds testing scope to every ServiceNow upgrade. Organizations with high customization volumes upgrade less frequently — falling behind on platform capabilities, security patches, and the AI features that require current releases. Reducing the customization count is not just a technical improvement; it is a strategic investment in staying current with a platform that releases three times per year.</w:t>
      </w:r>
    </w:p>
    <w:p>
      <w:pPr>
        <w:pStyle w:val="Heading2"/>
      </w:pPr>
      <w:r>
        <w:t>Debt elimination creates capacity for new value delivery</w:t>
      </w:r>
    </w:p>
    <w:p>
      <w:pPr>
        <w:spacing w:after="160" w:before="0"/>
      </w:pPr>
      <w:r>
        <w:rPr>
          <w:rFonts w:ascii="Calibri" w:hAnsi="Calibri"/>
          <w:color w:val="1A1A1A"/>
          <w:sz w:val="22"/>
        </w:rPr>
        <w:t>Platform teams that spend 70% of their capacity maintaining customizations have 30% available for new capabilities. Teams that reduce their customization maintenance burden to 30% of capacity have 70% available for value delivery. The ROI calculation for debt elimination is straightforward — the question is the sequencing: which debt to eliminate first, and in what phases.</w:t>
      </w:r>
    </w:p>
    <w:p>
      <w:r>
        <w:br w:type="page"/>
      </w:r>
    </w:p>
    <w:p>
      <w:pPr>
        <w:pStyle w:val="Heading1"/>
      </w:pPr>
      <w:r>
        <w:t>2.  The Signals That your technical debt reduction approach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Upgrade testing takes more than 4 weeks</w:t>
      </w:r>
    </w:p>
    <w:p>
      <w:pPr>
        <w:spacing w:after="160" w:before="0"/>
      </w:pPr>
      <w:r>
        <w:rPr>
          <w:rFonts w:ascii="Calibri" w:hAnsi="Calibri"/>
          <w:color w:val="1A1A1A"/>
          <w:sz w:val="22"/>
        </w:rPr>
        <w:t>If your ServiceNow upgrade testing cycle routinely exceeds four weeks, the customization volume has reached a level that makes staying current with the platform difficult. Four weeks of testing per upgrade, three upgrades per year, means 12 weeks — 25% of your team's annual capacity — consumed by upgrade testing alone.</w:t>
      </w:r>
    </w:p>
    <w:p>
      <w:pPr>
        <w:pStyle w:val="Heading2"/>
      </w:pPr>
      <w:r>
        <w:t>New platform capabilities cannot be activated without code changes</w:t>
      </w:r>
    </w:p>
    <w:p>
      <w:pPr>
        <w:spacing w:after="160" w:before="0"/>
      </w:pPr>
      <w:r>
        <w:rPr>
          <w:rFonts w:ascii="Calibri" w:hAnsi="Calibri"/>
          <w:color w:val="1A1A1A"/>
          <w:sz w:val="22"/>
        </w:rPr>
        <w:t>When a new ServiceNow capability requires modifications to existing customizations before it can be activated, that is a direct cost of technical debt. The more customizations that block new capabilities, the more each platform release requires remediation work before the organization can benefit from it.</w:t>
      </w:r>
    </w:p>
    <w:p>
      <w:pPr>
        <w:pStyle w:val="Heading2"/>
      </w:pPr>
      <w:r>
        <w:t>Customization documentation is sparse or missing</w:t>
      </w:r>
    </w:p>
    <w:p>
      <w:pPr>
        <w:spacing w:after="160" w:before="0"/>
      </w:pPr>
      <w:r>
        <w:rPr>
          <w:rFonts w:ascii="Calibri" w:hAnsi="Calibri"/>
          <w:color w:val="1A1A1A"/>
          <w:sz w:val="22"/>
        </w:rPr>
        <w:t>Customizations without documentation are a succession risk: when the person who built them leaves, the organization loses the ability to maintain them. Undocumented customizations are also harder to evaluate for elimination — nobody knows what removing them would break.</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How to classify existing technical debt by elimination priority</w:t>
      </w:r>
    </w:p>
    <w:p>
      <w:pPr>
        <w:spacing w:after="160" w:before="0"/>
      </w:pPr>
      <w:r>
        <w:rPr>
          <w:rFonts w:ascii="Calibri" w:hAnsi="Calibri"/>
          <w:color w:val="1A1A1A"/>
          <w:sz w:val="22"/>
        </w:rPr>
        <w:t>Not all debt is equally urgent to eliminate. A classification framework for existing customizations: Tier 1 — blocks AI capabilities or upgrade testing (eliminate in Phase 1 or Phase 2), Tier 2 — adds maintenance burden but does not block new capabilities (eliminate on natural refresh cycle), Tier 3 — low impact, low maintenance cost (document and monitor, do not prioritize for elimination unless capacity allows).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Do you have an inventory of your current ServiceNow customizations?</w:t>
      </w:r>
    </w:p>
    <w:p>
      <w:pPr>
        <w:pStyle w:val="ListBullet"/>
        <w:spacing w:after="40"/>
        <w:ind w:left="360"/>
      </w:pPr>
      <w:r>
        <w:rPr>
          <w:rFonts w:ascii="Calibri" w:hAnsi="Calibri"/>
          <w:sz w:val="22"/>
        </w:rPr>
        <w:t>Which customizations have been identified as blocking upgrades or new capabilities?</w:t>
      </w:r>
    </w:p>
    <w:p>
      <w:pPr>
        <w:pStyle w:val="ListBullet"/>
        <w:spacing w:after="40"/>
        <w:ind w:left="360"/>
      </w:pPr>
      <w:r>
        <w:rPr>
          <w:rFonts w:ascii="Calibri" w:hAnsi="Calibri"/>
          <w:sz w:val="22"/>
        </w:rPr>
        <w:t>Are there customizations that no longer serve their original purpose — requirements that have changed?</w:t>
      </w:r>
    </w:p>
    <w:p>
      <w:pPr>
        <w:spacing w:after="160" w:before="80"/>
      </w:pPr>
      <w:r>
        <w:rPr>
          <w:rFonts w:ascii="Calibri" w:hAnsi="Calibri"/>
          <w:i/>
          <w:color w:val="1A1A1A"/>
          <w:sz w:val="22"/>
        </w:rPr>
        <w:t>Most organizations find that 20–30% of their customizations are Tier 1 (block AI or upgrade capability), 40–50% are Tier 2 (maintenance burden only), and 20–30% are Tier 3 (low impact). The Tier 1 inventory is the Phase 2 elimination roadmap.</w:t>
      </w:r>
    </w:p>
    <w:p>
      <w:pPr>
        <w:pStyle w:val="Heading2"/>
      </w:pPr>
      <w:r>
        <w:t>Decision 2 — Parallel vs. sequential approach — eliminate while building, or after stabilizing?</w:t>
      </w:r>
    </w:p>
    <w:p>
      <w:pPr>
        <w:spacing w:after="160" w:before="0"/>
      </w:pPr>
      <w:r>
        <w:rPr>
          <w:rFonts w:ascii="Calibri" w:hAnsi="Calibri"/>
          <w:color w:val="1A1A1A"/>
          <w:sz w:val="22"/>
        </w:rPr>
        <w:t>Some debt elimination work can happen in parallel with the Phase 1 OOTB baseline build — replacing a custom integration with a certified connector, for example. Other debt elimination requires the new baseline to be stable first — replacing a custom workflow with an OOTB workflow that depends on the new category structure being in place. The workshop will identify which debt items can be eliminated in parallel and which are Phase 2.</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customizations that can be retired as soon as the OOTB replacement is configured — without waiting for go-live?</w:t>
      </w:r>
    </w:p>
    <w:p>
      <w:pPr>
        <w:pStyle w:val="ListBullet"/>
        <w:spacing w:after="40"/>
        <w:ind w:left="360"/>
      </w:pPr>
      <w:r>
        <w:rPr>
          <w:rFonts w:ascii="Calibri" w:hAnsi="Calibri"/>
          <w:sz w:val="22"/>
        </w:rPr>
        <w:t>Are there customizations whose replacement depends on Phase 1 process design decisions being final?</w:t>
      </w:r>
    </w:p>
    <w:p>
      <w:pPr>
        <w:pStyle w:val="Heading2"/>
      </w:pPr>
      <w:r>
        <w:t>Decision 3 — What governance prevents new debt from accumulating?</w:t>
      </w:r>
    </w:p>
    <w:p>
      <w:pPr>
        <w:spacing w:after="160" w:before="0"/>
      </w:pPr>
      <w:r>
        <w:rPr>
          <w:rFonts w:ascii="Calibri" w:hAnsi="Calibri"/>
          <w:color w:val="1A1A1A"/>
          <w:sz w:val="22"/>
        </w:rPr>
        <w:t>Debt elimination without a prevention mechanism produces a debt cycle: new customizations accumulate at the same rate that old ones are eliminated. The Custom-vs-OOTB Decision Framework and Customization Council established in Sprint 0 are the prevention mechanism. The debt elimination roadmap and the prevention governance need to be designed as a system.</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Is the Customization Council operational — have members been named and the process defined?</w:t>
      </w:r>
    </w:p>
    <w:p>
      <w:pPr>
        <w:pStyle w:val="ListBullet"/>
        <w:spacing w:after="40"/>
        <w:ind w:left="360"/>
      </w:pPr>
      <w:r>
        <w:rPr>
          <w:rFonts w:ascii="Calibri" w:hAnsi="Calibri"/>
          <w:sz w:val="22"/>
        </w:rPr>
        <w:t>Is customization volume being tracked as a platform health metric?</w:t>
      </w:r>
    </w:p>
    <w:p>
      <w:pPr>
        <w:pStyle w:val="ListBullet"/>
        <w:spacing w:after="40"/>
        <w:ind w:left="360"/>
      </w:pPr>
      <w:r>
        <w:rPr>
          <w:rFonts w:ascii="Calibri" w:hAnsi="Calibri"/>
          <w:sz w:val="22"/>
        </w:rPr>
        <w:t>Is there a target customization count the organization is aiming for at the end of the engagement?</w:t>
      </w:r>
    </w:p>
    <w:p>
      <w:pPr>
        <w:pStyle w:val="Heading2"/>
      </w:pPr>
      <w:r>
        <w:t>Decision 4 — How will debt elimination progress be reported to leadership?</w:t>
      </w:r>
    </w:p>
    <w:p>
      <w:pPr>
        <w:spacing w:after="160" w:before="0"/>
      </w:pPr>
      <w:r>
        <w:rPr>
          <w:rFonts w:ascii="Calibri" w:hAnsi="Calibri"/>
          <w:color w:val="1A1A1A"/>
          <w:sz w:val="22"/>
        </w:rPr>
        <w:t>Technical debt elimination is a multi-phase effort. Leadership visibility into progress — specifically the reduction in customization count and the corresponding reduction in upgrade testing time — is what sustains organizational commitment to the effort across multiple phases.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leadership audience needs visibility into debt elimination progress?</w:t>
      </w:r>
    </w:p>
    <w:p>
      <w:pPr>
        <w:pStyle w:val="ListBullet"/>
        <w:spacing w:after="40"/>
        <w:ind w:left="360"/>
      </w:pPr>
      <w:r>
        <w:rPr>
          <w:rFonts w:ascii="Calibri" w:hAnsi="Calibri"/>
          <w:sz w:val="22"/>
        </w:rPr>
        <w:t>What metrics will demonstrate debt reduction value — customization count, upgrade test time, maintenance hours?</w:t>
      </w:r>
    </w:p>
    <w:p>
      <w:pPr>
        <w:pStyle w:val="ListBullet"/>
        <w:spacing w:after="40"/>
        <w:ind w:left="360"/>
      </w:pPr>
      <w:r>
        <w:rPr>
          <w:rFonts w:ascii="Calibri" w:hAnsi="Calibri"/>
          <w:sz w:val="22"/>
        </w:rPr>
        <w:t>How frequently should debt elimination progress be reported?</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inventory exists with classification by elimination priority</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 customization inventory — debt volume is unknown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Tier 1 (AI-blocking) customizations on a Phase 2 elimination roadmap</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AI-blocking customizations not prioritized — AI capability activation deferred indefinitely</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Upgrade testing time decreasing quarter-over-quarter as debt is eliminated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Upgrade testing time constant or increasing — debt is accumulating faster than it is being eliminated</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Custom-vs-OOTB framework preventing new debt accumulation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New customizations added at the same rate that old ones are eliminated — no net progress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Debt elimination metrics in leadership reporting</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Debt elimination progress not tracked — leadership does not have visibility into the effort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Documentation produced for every remaining customization</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Customizations running without documentation — succession and maintenance risk</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Customization inventory as Phase 1 deliverable</w:t>
      </w:r>
    </w:p>
    <w:p>
      <w:pPr>
        <w:spacing w:after="160" w:before="0"/>
      </w:pPr>
      <w:r>
        <w:rPr>
          <w:rFonts w:ascii="Calibri" w:hAnsi="Calibri"/>
          <w:color w:val="1A1A1A"/>
          <w:sz w:val="22"/>
        </w:rPr>
        <w:t>A federal agency made a complete customization inventory a Sprint 0 deliverable — completed before the Phase 1 build began. The inventory classified each of their 340 customizations by type, business owner, and elimination priority. Tier 1 analysis showed that 42 customizations were blocking specific AI capabilities. Those 42 became the Phase 2 elimination roadmap. By the end of Phase 2, the platform had eliminated all 42 Tier 1 items, reducing upgrade testing time from 6 weeks to 3 weeks per release.</w:t>
      </w:r>
    </w:p>
    <w:p>
      <w:pPr>
        <w:pStyle w:val="Heading2"/>
      </w:pPr>
      <w:r>
        <w:t>Pattern B — Parallel elimination of custom integrations</w:t>
      </w:r>
    </w:p>
    <w:p>
      <w:pPr>
        <w:spacing w:after="160" w:before="0"/>
      </w:pPr>
      <w:r>
        <w:rPr>
          <w:rFonts w:ascii="Calibri" w:hAnsi="Calibri"/>
          <w:color w:val="1A1A1A"/>
          <w:sz w:val="22"/>
        </w:rPr>
        <w:t>A technology company identified during integration prioritization that 6 of their custom integrations had certified connector equivalents. They configured the connectors in parallel with the Phase 1 build and retired the custom integrations at go-live — not in a separate phase. Eliminating 6 custom integrations at go-live rather than deferring them to Phase 2 reduced the Phase 2 backlog and provided immediate upgrade testing relief.</w:t>
      </w:r>
    </w:p>
    <w:p>
      <w:pPr>
        <w:pStyle w:val="Heading2"/>
      </w:pPr>
      <w:r>
        <w:t>Pattern C — Debt metric in quarterly business review</w:t>
      </w:r>
    </w:p>
    <w:p>
      <w:pPr>
        <w:spacing w:after="160" w:before="0"/>
      </w:pPr>
      <w:r>
        <w:rPr>
          <w:rFonts w:ascii="Calibri" w:hAnsi="Calibri"/>
          <w:color w:val="1A1A1A"/>
          <w:sz w:val="22"/>
        </w:rPr>
        <w:t>A healthcare organization added three metrics to their quarterly IT business review: total customization count, Tier 1 customization count, and upgrade testing duration. Over four quarters, total customization count dropped from 290 to 210, Tier 1 count dropped from 38 to 12, and upgrade testing duration dropped from 5 weeks to 2.5 weeks. The metrics kept debt elimination on the leadership agenda and provided a clear narrative for the platform investment.</w:t>
      </w:r>
    </w:p>
    <w:p>
      <w:r>
        <w:br w:type="page"/>
      </w:r>
    </w:p>
    <w:p>
      <w:pPr>
        <w:pStyle w:val="Heading1"/>
      </w:pPr>
      <w:r>
        <w:t>6.  How We Will Workshop This Together</w:t>
      </w:r>
    </w:p>
    <w:p>
      <w:pPr>
        <w:spacing w:after="160" w:before="0"/>
      </w:pPr>
      <w:r>
        <w:rPr>
          <w:rFonts w:ascii="Calibri" w:hAnsi="Calibri"/>
          <w:color w:val="1A1A1A"/>
          <w:sz w:val="22"/>
        </w:rPr>
        <w:t>The debt elimination roadmap is built across two conversations: Sprint 0 (customization inventory and Tier 1 identification) and Phase 2 kickoff (sequenced elimination plan with sprint assignments). In Sprint 0, we will review your existing customization list, apply the three-tier classification, and identify the Tier 1 items that become the Phase 2 priority. The elimination work happens in Phase 2, after the OOTB baseline is stable and the replacement configurations are proven.</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Customization inventory from your current ServiceNow environment — update set history, custom tables, custom scripts</w:t>
      </w:r>
    </w:p>
    <w:p>
      <w:pPr>
        <w:pStyle w:val="ListBullet"/>
        <w:spacing w:after="40"/>
        <w:ind w:left="360"/>
      </w:pPr>
      <w:r>
        <w:rPr>
          <w:rFonts w:ascii="Calibri" w:hAnsi="Calibri"/>
          <w:sz w:val="22"/>
        </w:rPr>
        <w:t>Upgrade test plan from the last upgrade cycle (shows which customizations required remediation)</w:t>
      </w:r>
    </w:p>
    <w:p>
      <w:pPr>
        <w:pStyle w:val="ListBullet"/>
        <w:spacing w:after="40"/>
        <w:ind w:left="360"/>
      </w:pPr>
      <w:r>
        <w:rPr>
          <w:rFonts w:ascii="Calibri" w:hAnsi="Calibri"/>
          <w:sz w:val="22"/>
        </w:rPr>
        <w:t>List of ServiceNow capabilities your team has been unable to activate — these are Tier 1 debt candidates</w:t>
      </w:r>
    </w:p>
    <w:p>
      <w:pPr>
        <w:pStyle w:val="ListBullet"/>
        <w:spacing w:after="40"/>
        <w:ind w:left="360"/>
      </w:pPr>
      <w:r>
        <w:rPr>
          <w:rFonts w:ascii="Calibri" w:hAnsi="Calibri"/>
          <w:sz w:val="22"/>
        </w:rPr>
        <w:t>Business owner for each major customization area — they will need to validate elimination feasibility</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Do you have an inventory of your current ServiceNow customizations?</w:t>
      </w:r>
    </w:p>
    <w:p>
      <w:pPr>
        <w:pStyle w:val="ListBullet"/>
        <w:spacing w:after="40"/>
        <w:ind w:left="360"/>
      </w:pPr>
      <w:r>
        <w:rPr>
          <w:rFonts w:ascii="Calibri" w:hAnsi="Calibri"/>
          <w:sz w:val="22"/>
        </w:rPr>
        <w:t>Are there specific AI capabilities (Now Assist, Predictive Intelligence, Virtual Agent) that you have been unable to activate due to customization conflicts?</w:t>
      </w:r>
    </w:p>
    <w:p>
      <w:pPr>
        <w:pStyle w:val="ListBullet"/>
        <w:spacing w:after="40"/>
        <w:ind w:left="360"/>
      </w:pPr>
      <w:r>
        <w:rPr>
          <w:rFonts w:ascii="Calibri" w:hAnsi="Calibri"/>
          <w:sz w:val="22"/>
        </w:rPr>
        <w:t>How long does your current ServiceNow upgrade testing cycle take?</w:t>
      </w:r>
    </w:p>
    <w:p>
      <w:pPr>
        <w:pStyle w:val="ListBullet"/>
        <w:spacing w:after="40"/>
        <w:ind w:left="360"/>
      </w:pPr>
      <w:r>
        <w:rPr>
          <w:rFonts w:ascii="Calibri" w:hAnsi="Calibri"/>
          <w:sz w:val="22"/>
        </w:rPr>
        <w:t>Are there customizations that you already know should be retired but have not had capacity to address?</w:t>
      </w:r>
    </w:p>
    <w:p>
      <w:pPr>
        <w:pStyle w:val="ListBullet"/>
        <w:spacing w:after="40"/>
        <w:ind w:left="360"/>
      </w:pPr>
      <w:r>
        <w:rPr>
          <w:rFonts w:ascii="Calibri" w:hAnsi="Calibri"/>
          <w:sz w:val="22"/>
        </w:rPr>
        <w:t>What leadership audience needs to see technical debt elimination progress?</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 vs. OOTB Decision Framework</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companion guide — prevents new debt while this guide addresses existing debt</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18-Week OOTB-First Journey Overview</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engagement model that frames the debt elimination approach</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02_Client/01_Engagement_Overview/</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Assist/GenAI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AI capability activation is the primary value driver for Tier 1 debt elimination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Technical Debt Elimination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