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INCIDENT MANAGEMENT</w:t>
      </w:r>
    </w:p>
    <w:p>
      <w:pPr>
        <w:spacing w:before="0" w:after="40"/>
      </w:pPr>
      <w:r>
        <w:rPr>
          <w:rFonts w:ascii="Calibri" w:hAnsi="Calibri"/>
          <w:b/>
          <w:color w:val="0B1F3A"/>
          <w:sz w:val="56"/>
        </w:rPr>
        <w:t>Incident Management</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Restoring service faster with a clean, AI-ready incident process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Service Desk Leadership, Incident Managers, IT Operations, Process Owners</w:t>
      </w:r>
    </w:p>
    <w:p>
      <w:pPr>
        <w:spacing w:after="40"/>
      </w:pPr>
      <w:r>
        <w:rPr>
          <w:rFonts w:ascii="Calibri" w:hAnsi="Calibri"/>
          <w:b w:val="0"/>
          <w:i w:val="0"/>
          <w:color w:val="475569"/>
          <w:sz w:val="20"/>
        </w:rPr>
        <w:t>Companion to: Incident Management Accelerator Pack · Category Structure Simplification Decision Guide</w:t>
      </w:r>
    </w:p>
    <w:p>
      <w:pPr>
        <w:spacing w:after="80"/>
      </w:pPr>
      <w:r>
        <w:rPr>
          <w:rFonts w:ascii="Calibri" w:hAnsi="Calibri"/>
          <w:b w:val="0"/>
          <w:i w:val="0"/>
          <w:color w:val="475569"/>
          <w:sz w:val="20"/>
        </w:rPr>
        <w:t>Document ID: CLT-WP-02b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Incident Management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Incident Management is typically one of the first process areas configured in your engagement. The decisions made here set the baseline for service restoration speed, SLA performance, and the data quality that AI capabilities like Predictive Intelligence and Now Assist require. This document gives you the context to make those decisions deliberately.</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Incident Management?</w:t>
      </w:r>
    </w:p>
    <w:p>
      <w:pPr>
        <w:spacing w:after="160" w:before="0"/>
      </w:pPr>
      <w:r>
        <w:rPr>
          <w:rFonts w:ascii="Calibri" w:hAnsi="Calibri"/>
          <w:color w:val="1A1A1A"/>
          <w:sz w:val="22"/>
        </w:rPr>
        <w:t>Incident Management is the process of restoring normal service operation as quickly as possible after an unplanned disruption, while minimizing the adverse impact on business operations. In ServiceNow, it is the process most users interact with daily — whether they are submitting a ticket, resolving one, or reporting on the ones in between.</w:t>
      </w:r>
    </w:p>
    <w:p>
      <w:pPr>
        <w:pStyle w:val="ListBullet"/>
        <w:spacing w:after="40"/>
        <w:ind w:left="360"/>
      </w:pPr>
      <w:r>
        <w:rPr>
          <w:rFonts w:ascii="Calibri" w:hAnsi="Calibri"/>
          <w:sz w:val="22"/>
        </w:rPr>
        <w:t>Incident logging — how disruptions are captured (portal, email, phone, Virtual Agent)</w:t>
      </w:r>
    </w:p>
    <w:p>
      <w:pPr>
        <w:pStyle w:val="ListBullet"/>
        <w:spacing w:after="40"/>
        <w:ind w:left="360"/>
      </w:pPr>
      <w:r>
        <w:rPr>
          <w:rFonts w:ascii="Calibri" w:hAnsi="Calibri"/>
          <w:sz w:val="22"/>
        </w:rPr>
        <w:t>Categorization and routing — getting the right ticket to the right team, automatically</w:t>
      </w:r>
    </w:p>
    <w:p>
      <w:pPr>
        <w:pStyle w:val="ListBullet"/>
        <w:spacing w:after="40"/>
        <w:ind w:left="360"/>
      </w:pPr>
      <w:r>
        <w:rPr>
          <w:rFonts w:ascii="Calibri" w:hAnsi="Calibri"/>
          <w:sz w:val="22"/>
        </w:rPr>
        <w:t>Priority and SLA — ensuring the right sense of urgency for the right impact</w:t>
      </w:r>
    </w:p>
    <w:p>
      <w:pPr>
        <w:pStyle w:val="ListBullet"/>
        <w:spacing w:after="40"/>
        <w:ind w:left="360"/>
      </w:pPr>
      <w:r>
        <w:rPr>
          <w:rFonts w:ascii="Calibri" w:hAnsi="Calibri"/>
          <w:sz w:val="22"/>
        </w:rPr>
        <w:t>Resolution and closure — closing tickets correctly so data is accurate and reusable</w:t>
      </w:r>
    </w:p>
    <w:p>
      <w:pPr>
        <w:pStyle w:val="ListBullet"/>
        <w:spacing w:after="40"/>
        <w:ind w:left="360"/>
      </w:pPr>
      <w:r>
        <w:rPr>
          <w:rFonts w:ascii="Calibri" w:hAnsi="Calibri"/>
          <w:sz w:val="22"/>
        </w:rPr>
        <w:t>Major Incident subprocess — escalation path when a single incident affects multiple users or critical services</w:t>
      </w:r>
    </w:p>
    <w:p>
      <w:pPr>
        <w:pStyle w:val="Heading1"/>
      </w:pPr>
      <w:r>
        <w:t>2.  Why It Matters in Your ServiceNow Journey</w:t>
      </w:r>
    </w:p>
    <w:p>
      <w:pPr>
        <w:spacing w:after="160" w:before="0"/>
      </w:pPr>
      <w:r>
        <w:rPr>
          <w:rFonts w:ascii="Calibri" w:hAnsi="Calibri"/>
          <w:color w:val="1A1A1A"/>
          <w:sz w:val="22"/>
        </w:rPr>
        <w:t>Incident Management is the highest-volume process in most IT organizations. It is also the process most sensitive to data quality — every field that gets filled in inconsistently represents a data gap that AI-powered capabilities like Predictive Intelligence cannot close. Getting Incident Management right is the foundational investment in your AI roadmap.</w:t>
      </w:r>
    </w:p>
    <w:p>
      <w:pPr>
        <w:pStyle w:val="ListBullet"/>
        <w:spacing w:after="40"/>
        <w:ind w:left="360"/>
      </w:pPr>
      <w:r>
        <w:rPr>
          <w:rFonts w:ascii="Calibri" w:hAnsi="Calibri"/>
          <w:sz w:val="22"/>
        </w:rPr>
        <w:t>Categorization discipline directly determines the quality of Predictive Intelligence routing — garbage in, garbage out</w:t>
      </w:r>
    </w:p>
    <w:p>
      <w:pPr>
        <w:pStyle w:val="ListBullet"/>
        <w:spacing w:after="40"/>
        <w:ind w:left="360"/>
      </w:pPr>
      <w:r>
        <w:rPr>
          <w:rFonts w:ascii="Calibri" w:hAnsi="Calibri"/>
          <w:sz w:val="22"/>
        </w:rPr>
        <w:t>SLA configuration determines whether your team's performance is measured accurately or obscured by inherited technical debt</w:t>
      </w:r>
    </w:p>
    <w:p>
      <w:pPr>
        <w:pStyle w:val="ListBullet"/>
        <w:spacing w:after="40"/>
        <w:ind w:left="360"/>
      </w:pPr>
      <w:r>
        <w:rPr>
          <w:rFonts w:ascii="Calibri" w:hAnsi="Calibri"/>
          <w:sz w:val="22"/>
        </w:rPr>
        <w:t>A simplified, OOTB-aligned incident form dramatically reduces the training burden for new agents</w:t>
      </w:r>
    </w:p>
    <w:p>
      <w:pPr>
        <w:pStyle w:val="Heading1"/>
      </w:pPr>
      <w:r>
        <w:t>3.  What ServiceNow Delivers Out of the Box</w:t>
      </w:r>
    </w:p>
    <w:p>
      <w:pPr>
        <w:spacing w:after="160" w:before="0"/>
      </w:pPr>
      <w:r>
        <w:rPr>
          <w:rFonts w:ascii="Calibri" w:hAnsi="Calibri"/>
          <w:color w:val="1A1A1A"/>
          <w:sz w:val="22"/>
        </w:rPr>
        <w:t>ServiceNow's OOTB Incident Management is mature and comprehensive. The following capabilities are available from day one — no customization required.</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Multi-channel intake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Email, portal (Employee Center), phone, Virtual Agent — all route to the same incident queue with consistent data capture</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Automated categorization routing</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rules route incidents to the right group based on category, CI, location, and other criteria</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Engine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Configurable SLA definitions with breach warnings, escalation, and reporting built in</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Major Incident Management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Dedicated workflow for Sev-1/P1 situations: war-room bridge, stakeholder notification, and timeline tracking</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Predictive Intelligence (ready-state)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ML-based category and assignment group prediction — activates once sufficient clean ticket data exists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for Incident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AI-generated incident summaries and resolution notes — reduces handle time significantly</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dashboards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incident metrics: MTTR, volume by category, SLA compliance, reopen rate</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decisions will be worked through in the Incident Management workshop. Some of them require input from people outside the room — knowing in advance gives you time to gather that input.</w:t>
      </w:r>
    </w:p>
    <w:p>
      <w:pPr>
        <w:pStyle w:val="Heading2"/>
      </w:pPr>
      <w:r>
        <w:t>Decision 1: Categorization Structure</w:t>
      </w:r>
    </w:p>
    <w:p>
      <w:pPr>
        <w:spacing w:after="160" w:before="0"/>
      </w:pPr>
      <w:r>
        <w:rPr>
          <w:rFonts w:ascii="Calibri" w:hAnsi="Calibri"/>
          <w:color w:val="1A1A1A"/>
          <w:sz w:val="22"/>
        </w:rPr>
        <w:t>How will you organize your incident categories, subcategories, and service classifications? A clean, two-level taxonomy (Category → Subcategory) that maps to your actual service delivery teams is the OOTB-aligned baseline. Many organizations arrive with 5-10 levels inherited from previous tools.</w:t>
      </w:r>
    </w:p>
    <w:p>
      <w:pPr>
        <w:spacing w:after="160" w:before="0"/>
      </w:pPr>
      <w:r>
        <w:rPr>
          <w:rFonts w:ascii="Calibri" w:hAnsi="Calibri"/>
          <w:i/>
          <w:color w:val="1A1A1A"/>
          <w:sz w:val="22"/>
        </w:rPr>
        <w:t>Trade-off to consider: Simplified taxonomy reduces routing errors and enables AI; complex taxonomy preserves historical granularity but creates maintenance burden and degrades ML performance.</w:t>
      </w:r>
    </w:p>
    <w:p>
      <w:pPr>
        <w:pStyle w:val="Heading2"/>
      </w:pPr>
      <w:r>
        <w:t>Decision 2: Priority and Urgency Matrix</w:t>
      </w:r>
    </w:p>
    <w:p>
      <w:pPr>
        <w:spacing w:after="160" w:before="0"/>
      </w:pPr>
      <w:r>
        <w:rPr>
          <w:rFonts w:ascii="Calibri" w:hAnsi="Calibri"/>
          <w:color w:val="1A1A1A"/>
          <w:sz w:val="22"/>
        </w:rPr>
        <w:t>ServiceNow uses a standard Impact × Urgency = Priority matrix. The question is whether you will adopt the OOTB 3×3 matrix, adjust thresholds to match your SLA commitments, or map in a custom priority scheme from your existing process documentation.</w:t>
      </w:r>
    </w:p>
    <w:p>
      <w:pPr>
        <w:spacing w:after="160" w:before="0"/>
      </w:pPr>
      <w:r>
        <w:rPr>
          <w:rFonts w:ascii="Calibri" w:hAnsi="Calibri"/>
          <w:i/>
          <w:color w:val="1A1A1A"/>
          <w:sz w:val="22"/>
        </w:rPr>
        <w:t>Trade-off to consider: OOTB matrix is upgrade-safe and immediately available; custom schemes require ongoing maintenance and often replicate legacy complexity.</w:t>
      </w:r>
    </w:p>
    <w:p>
      <w:pPr>
        <w:pStyle w:val="Heading2"/>
      </w:pPr>
      <w:r>
        <w:t>Decision 3: SLA Definition Set</w:t>
      </w:r>
    </w:p>
    <w:p>
      <w:pPr>
        <w:spacing w:after="160" w:before="0"/>
      </w:pPr>
      <w:r>
        <w:rPr>
          <w:rFonts w:ascii="Calibri" w:hAnsi="Calibri"/>
          <w:color w:val="1A1A1A"/>
          <w:sz w:val="22"/>
        </w:rPr>
        <w:t>Which SLA targets will you formalize in ServiceNow? We recommend starting with the SLAs your team is already measured against, and configuring them exactly — no extras, no aspirational additions. This is the single most common source of SLA report credibility issues.</w:t>
      </w:r>
    </w:p>
    <w:p>
      <w:pPr>
        <w:spacing w:after="160" w:before="0"/>
      </w:pPr>
      <w:r>
        <w:rPr>
          <w:rFonts w:ascii="Calibri" w:hAnsi="Calibri"/>
          <w:i/>
          <w:color w:val="1A1A1A"/>
          <w:sz w:val="22"/>
        </w:rPr>
        <w:t>Trade-off to consider: Fewer, accurate SLAs produce trustworthy metrics; too many SLAs dilute accountability and make reporting difficult to interpret.</w:t>
      </w:r>
    </w:p>
    <w:p>
      <w:pPr>
        <w:pStyle w:val="Heading2"/>
      </w:pPr>
      <w:r>
        <w:t>Decision 4: Closure Criteria</w:t>
      </w:r>
    </w:p>
    <w:p>
      <w:pPr>
        <w:spacing w:after="160" w:before="0"/>
      </w:pPr>
      <w:r>
        <w:rPr>
          <w:rFonts w:ascii="Calibri" w:hAnsi="Calibri"/>
          <w:color w:val="1A1A1A"/>
          <w:sz w:val="22"/>
        </w:rPr>
        <w:t>What defines a closed incident? The OOTB approach uses a Resolution Code + Resolution Notes combination to ensure closure data is complete. The workshop will align on the minimum required fields for meaningful data.</w:t>
      </w:r>
    </w:p>
    <w:p>
      <w:pPr>
        <w:spacing w:after="160" w:before="0"/>
      </w:pPr>
      <w:r>
        <w:rPr>
          <w:rFonts w:ascii="Calibri" w:hAnsi="Calibri"/>
          <w:i/>
          <w:color w:val="1A1A1A"/>
          <w:sz w:val="22"/>
        </w:rPr>
        <w:t>Trade-off to consider: Requiring resolution notes improves data quality for AI and reporting; removing the requirement speeds closure but degrades downstream knowledge and analytics.</w:t>
      </w:r>
    </w:p>
    <w:p>
      <w:pPr>
        <w:pStyle w:val="Heading1"/>
      </w:pPr>
      <w:r>
        <w:t>5.  Things to Think About Before We Meet</w:t>
      </w:r>
    </w:p>
    <w:p>
      <w:pPr>
        <w:spacing w:after="160" w:before="0"/>
      </w:pPr>
      <w:r>
        <w:rPr>
          <w:rFonts w:ascii="Calibri" w:hAnsi="Calibri"/>
          <w:color w:val="1A1A1A"/>
          <w:sz w:val="22"/>
        </w:rPr>
        <w:t>These are the questions worth thinking about — and discussing with your team — before the Incident Management workshop.</w:t>
      </w:r>
    </w:p>
    <w:p>
      <w:pPr>
        <w:pStyle w:val="ListBullet"/>
        <w:spacing w:after="40"/>
        <w:ind w:left="360"/>
      </w:pPr>
      <w:r>
        <w:rPr>
          <w:rFonts w:ascii="Calibri" w:hAnsi="Calibri"/>
          <w:sz w:val="22"/>
        </w:rPr>
        <w:t>How many active incident categories do you currently have in your existing tool? (A count or export is helpful.)</w:t>
      </w:r>
    </w:p>
    <w:p>
      <w:pPr>
        <w:pStyle w:val="ListBullet"/>
        <w:spacing w:after="40"/>
        <w:ind w:left="360"/>
      </w:pPr>
      <w:r>
        <w:rPr>
          <w:rFonts w:ascii="Calibri" w:hAnsi="Calibri"/>
          <w:sz w:val="22"/>
        </w:rPr>
        <w:t>What are your current SLA targets — by priority level — and where are they documented?</w:t>
      </w:r>
    </w:p>
    <w:p>
      <w:pPr>
        <w:pStyle w:val="ListBullet"/>
        <w:spacing w:after="40"/>
        <w:ind w:left="360"/>
      </w:pPr>
      <w:r>
        <w:rPr>
          <w:rFonts w:ascii="Calibri" w:hAnsi="Calibri"/>
          <w:sz w:val="22"/>
        </w:rPr>
        <w:t>Which teams handle incidents today, and are those teams' structures reflected in ServiceNow assignment groups?</w:t>
      </w:r>
    </w:p>
    <w:p>
      <w:pPr>
        <w:pStyle w:val="ListBullet"/>
        <w:spacing w:after="40"/>
        <w:ind w:left="360"/>
      </w:pPr>
      <w:r>
        <w:rPr>
          <w:rFonts w:ascii="Calibri" w:hAnsi="Calibri"/>
          <w:sz w:val="22"/>
        </w:rPr>
        <w:t>Where do your users currently submit incidents — email, phone, a portal, all of the above?</w:t>
      </w:r>
    </w:p>
    <w:p>
      <w:pPr>
        <w:pStyle w:val="ListBullet"/>
        <w:spacing w:after="40"/>
        <w:ind w:left="360"/>
      </w:pPr>
      <w:r>
        <w:rPr>
          <w:rFonts w:ascii="Calibri" w:hAnsi="Calibri"/>
          <w:sz w:val="22"/>
        </w:rPr>
        <w:t>What percentage of incidents are resolved by the service desk vs. escalated to Tier 2/3?</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Current incident category/subcategory list (export from existing tool if possible)</w:t>
      </w:r>
    </w:p>
    <w:p>
      <w:pPr>
        <w:pStyle w:val="ListBullet"/>
        <w:spacing w:after="40"/>
        <w:ind w:left="360"/>
      </w:pPr>
      <w:r>
        <w:rPr>
          <w:rFonts w:ascii="Calibri" w:hAnsi="Calibri"/>
          <w:sz w:val="22"/>
        </w:rPr>
        <w:t>SLA targets by priority (documented or from existing tool configuration)</w:t>
      </w:r>
    </w:p>
    <w:p>
      <w:pPr>
        <w:pStyle w:val="ListBullet"/>
        <w:spacing w:after="40"/>
        <w:ind w:left="360"/>
      </w:pPr>
      <w:r>
        <w:rPr>
          <w:rFonts w:ascii="Calibri" w:hAnsi="Calibri"/>
          <w:sz w:val="22"/>
        </w:rPr>
        <w:t>Assignment group list with owning team leads</w:t>
      </w:r>
    </w:p>
    <w:p>
      <w:pPr>
        <w:pStyle w:val="ListBullet"/>
        <w:spacing w:after="40"/>
        <w:ind w:left="360"/>
      </w:pPr>
      <w:r>
        <w:rPr>
          <w:rFonts w:ascii="Calibri" w:hAnsi="Calibri"/>
          <w:sz w:val="22"/>
        </w:rPr>
        <w:t>Approximate monthly incident volume by team or category</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Incident Management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Incident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