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p>
    <w:p>
      <w:pPr>
        <w:spacing w:after="120"/>
      </w:pPr>
    </w:p>
    <w:p>
      <w:pPr>
        <w:spacing w:before="800" w:after="160"/>
      </w:pPr>
      <w:r>
        <w:rPr>
          <w:rFonts w:ascii="Calibri" w:hAnsi="Calibri"/>
          <w:b/>
          <w:color w:val="14B8A6"/>
          <w:spacing w:val="60"/>
          <w:sz w:val="18"/>
        </w:rPr>
        <w:t>WORKSHOP PRE-READ  ·  SERVICE GRAPH CONNECTORS</w:t>
      </w:r>
    </w:p>
    <w:p>
      <w:pPr>
        <w:spacing w:before="0" w:after="40"/>
      </w:pPr>
      <w:r>
        <w:rPr>
          <w:rFonts w:ascii="Calibri" w:hAnsi="Calibri"/>
          <w:b/>
          <w:color w:val="0B1F3A"/>
          <w:sz w:val="56"/>
        </w:rPr>
        <w:t>Service Graph Connectors</w:t>
      </w:r>
    </w:p>
    <w:p>
      <w:pPr>
        <w:spacing w:before="0" w:after="40"/>
      </w:pPr>
      <w:r>
        <w:rPr>
          <w:rFonts w:ascii="Calibri" w:hAnsi="Calibri"/>
          <w:b/>
          <w:color w:val="0B1F3A"/>
          <w:sz w:val="56"/>
        </w:rPr>
        <w:t>Workshop Pre-Read</w:t>
      </w:r>
    </w:p>
    <w:p>
      <w:pPr>
        <w:spacing w:before="120" w:after="400"/>
      </w:pPr>
      <w:r>
        <w:rPr>
          <w:rFonts w:ascii="Calibri" w:hAnsi="Calibri"/>
          <w:i/>
          <w:color w:val="0D9488"/>
          <w:sz w:val="24"/>
        </w:rPr>
        <w:t>Extending CMDB coverage to cloud and third-party tools through purpose-built integrations</w:t>
      </w:r>
    </w:p>
    <w:p>
      <w:pPr>
        <w:pBdr>
          <w:bottom w:val="single" w:sz="12" w:space="1" w:color="14B8A6"/>
        </w:pBdr>
        <w:spacing w:before="0" w:after="160"/>
      </w:pPr>
    </w:p>
    <w:p>
      <w:pPr>
        <w:spacing w:after="40"/>
      </w:pPr>
      <w:r>
        <w:rPr>
          <w:rFonts w:ascii="Calibri" w:hAnsi="Calibri"/>
          <w:b/>
          <w:i w:val="0"/>
          <w:color w:val="0B1F3A"/>
          <w:sz w:val="22"/>
        </w:rPr>
        <w:t>ECS Federal · ServiceNow Practice</w:t>
      </w:r>
    </w:p>
    <w:p>
      <w:pPr>
        <w:spacing w:after="40"/>
      </w:pPr>
      <w:r>
        <w:rPr>
          <w:rFonts w:ascii="Calibri" w:hAnsi="Calibri"/>
          <w:b w:val="0"/>
          <w:i w:val="0"/>
          <w:color w:val="475569"/>
          <w:sz w:val="20"/>
        </w:rPr>
        <w:t>Audience: CMDB Owners, Cloud Infrastructure Teams, IT Operations, Enterprise Architecture</w:t>
      </w:r>
    </w:p>
    <w:p>
      <w:pPr>
        <w:spacing w:after="40"/>
      </w:pPr>
      <w:r>
        <w:rPr>
          <w:rFonts w:ascii="Calibri" w:hAnsi="Calibri"/>
          <w:b w:val="0"/>
          <w:i w:val="0"/>
          <w:color w:val="475569"/>
          <w:sz w:val="20"/>
        </w:rPr>
        <w:t>Companion to: CMDB Pre-Read · Discovery Pre-Read · Integrations Pre-Read</w:t>
      </w:r>
    </w:p>
    <w:p>
      <w:pPr>
        <w:spacing w:after="80"/>
      </w:pPr>
      <w:r>
        <w:rPr>
          <w:rFonts w:ascii="Calibri" w:hAnsi="Calibri"/>
          <w:b w:val="0"/>
          <w:i w:val="0"/>
          <w:color w:val="475569"/>
          <w:sz w:val="20"/>
        </w:rPr>
        <w:t>Document ID: CLT-WP-02o     ·     Version: 1.0     ·     Status: Released</w:t>
      </w:r>
    </w:p>
    <w:p>
      <w:pPr>
        <w:spacing w:after="280"/>
      </w:pPr>
      <w:r>
        <w:rPr>
          <w:rFonts w:ascii="Calibri" w:hAnsi="Calibri"/>
          <w:b w:val="0"/>
          <w:i/>
          <w:color w:val="475569"/>
          <w:sz w:val="20"/>
        </w:rPr>
        <w:t>Confidential — prepared for the recipient and their organization</w:t>
      </w:r>
    </w:p>
    <w:p>
      <w:r>
        <w:br w:type="page"/>
      </w:r>
    </w:p>
    <w:p>
      <w:pPr>
        <w:pStyle w:val="Heading1"/>
      </w:pPr>
      <w:r>
        <w:t>How to Use This Document</w:t>
      </w:r>
    </w:p>
    <w:p>
      <w:pPr>
        <w:spacing w:after="160" w:before="0"/>
      </w:pPr>
      <w:r>
        <w:rPr>
          <w:rFonts w:ascii="Calibri" w:hAnsi="Calibri"/>
          <w:color w:val="1A1A1A"/>
          <w:sz w:val="22"/>
        </w:rPr>
        <w:t>This document is your preparation guide for the Service Graph Connectors workshop. It is designed to be read in 15–20 minutes before we meet, so that our time together is spent on your specifics rather than foundational concepts.</w:t>
      </w:r>
    </w:p>
    <w:p>
      <w:pPr>
        <w:spacing w:after="160" w:before="0"/>
      </w:pPr>
      <w:r>
        <w:rPr>
          <w:rFonts w:ascii="Calibri" w:hAnsi="Calibri"/>
          <w:color w:val="1A1A1A"/>
          <w:sz w:val="22"/>
        </w:rPr>
        <w:t>Service Graph Connectors (SGCs) are the bridge between your external infrastructure tools — AWS, Azure, VMware, Intune, Qualys, and others — and your ServiceNow CMDB. Where Discovery scans network-accessible devices, SGCs pull structured data directly from the APIs of third-party platforms. This pre-read helps you understand which connectors apply to your environment and what decisions they require.</w:t>
      </w: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You are the decision-maker. Our role is to frame the choices, share what we have seen in comparable engagements, and partner with you to implement the approach that fits your organization. Every section below is written with that dynamic in mind.</w:t>
      </w:r>
    </w:p>
    <w:p>
      <w:pPr>
        <w:pStyle w:val="Heading1"/>
      </w:pPr>
      <w:r>
        <w:t>1.  What Is Service Graph Connectors?</w:t>
      </w:r>
    </w:p>
    <w:p>
      <w:pPr>
        <w:spacing w:after="160" w:before="0"/>
      </w:pPr>
      <w:r>
        <w:rPr>
          <w:rFonts w:ascii="Calibri" w:hAnsi="Calibri"/>
          <w:color w:val="1A1A1A"/>
          <w:sz w:val="22"/>
        </w:rPr>
        <w:t>Service Graph Connectors are certified, pre-built integrations from ServiceNow that pull CI data from third-party infrastructure platforms and populate the CMDB. They use the Service Graph — a real-time, relationship-aware data layer — to ensure that imported CIs are correctly classified, de-duplicated, and related to each other. They are the fastest path to CMDB completeness for cloud and managed environments.</w:t>
      </w:r>
    </w:p>
    <w:p>
      <w:pPr>
        <w:pStyle w:val="ListBullet"/>
        <w:spacing w:after="40"/>
        <w:ind w:left="360"/>
      </w:pPr>
      <w:r>
        <w:rPr>
          <w:rFonts w:ascii="Calibri" w:hAnsi="Calibri"/>
          <w:sz w:val="22"/>
        </w:rPr>
        <w:t>Pre-built connectors — certified integrations for 70+ third-party tools (AWS, Azure, VMware, Intune, Okta, Qualys, and more)</w:t>
      </w:r>
    </w:p>
    <w:p>
      <w:pPr>
        <w:pStyle w:val="ListBullet"/>
        <w:spacing w:after="40"/>
        <w:ind w:left="360"/>
      </w:pPr>
      <w:r>
        <w:rPr>
          <w:rFonts w:ascii="Calibri" w:hAnsi="Calibri"/>
          <w:sz w:val="22"/>
        </w:rPr>
        <w:t>Service Graph layer — ensures imported CIs are correctly reconciled against existing CMDB data</w:t>
      </w:r>
    </w:p>
    <w:p>
      <w:pPr>
        <w:pStyle w:val="ListBullet"/>
        <w:spacing w:after="40"/>
        <w:ind w:left="360"/>
      </w:pPr>
      <w:r>
        <w:rPr>
          <w:rFonts w:ascii="Calibri" w:hAnsi="Calibri"/>
          <w:sz w:val="22"/>
        </w:rPr>
        <w:t>Relationship mapping — connectors import not just CIs but the relationships between them</w:t>
      </w:r>
    </w:p>
    <w:p>
      <w:pPr>
        <w:pStyle w:val="ListBullet"/>
        <w:spacing w:after="40"/>
        <w:ind w:left="360"/>
      </w:pPr>
      <w:r>
        <w:rPr>
          <w:rFonts w:ascii="Calibri" w:hAnsi="Calibri"/>
          <w:sz w:val="22"/>
        </w:rPr>
        <w:t>Scheduled synchronization — configurable refresh intervals to keep CMDB data current with source systems</w:t>
      </w:r>
    </w:p>
    <w:p>
      <w:pPr>
        <w:pStyle w:val="ListBullet"/>
        <w:spacing w:after="40"/>
        <w:ind w:left="360"/>
      </w:pPr>
      <w:r>
        <w:rPr>
          <w:rFonts w:ascii="Calibri" w:hAnsi="Calibri"/>
          <w:sz w:val="22"/>
        </w:rPr>
        <w:t>Publisher certification — connectors are certified by ServiceNow and updated with platform releases</w:t>
      </w:r>
    </w:p>
    <w:p>
      <w:pPr>
        <w:pStyle w:val="Heading1"/>
      </w:pPr>
      <w:r>
        <w:t>2.  Why It Matters in Your ServiceNow Journey</w:t>
      </w:r>
    </w:p>
    <w:p>
      <w:pPr>
        <w:spacing w:after="160" w:before="0"/>
      </w:pPr>
      <w:r>
        <w:rPr>
          <w:rFonts w:ascii="Calibri" w:hAnsi="Calibri"/>
          <w:color w:val="1A1A1A"/>
          <w:sz w:val="22"/>
        </w:rPr>
        <w:t>Modern IT environments span multiple cloud providers, managed services, and security tools. Discovery covers network-accessible infrastructure well, but cloud resources, SaaS applications, and security scan results require API-based ingestion that Discovery alone does not provide. Service Graph Connectors fill that gap — extending CMDB coverage to the full breadth of your environment without custom integration development.</w:t>
      </w:r>
    </w:p>
    <w:p>
      <w:pPr>
        <w:pStyle w:val="ListBullet"/>
        <w:spacing w:after="40"/>
        <w:ind w:left="360"/>
      </w:pPr>
      <w:r>
        <w:rPr>
          <w:rFonts w:ascii="Calibri" w:hAnsi="Calibri"/>
          <w:sz w:val="22"/>
        </w:rPr>
        <w:t>AWS and Azure SGCs populate cloud resource CIs in near-real-time — eliminating manual cloud inventory tracking</w:t>
      </w:r>
    </w:p>
    <w:p>
      <w:pPr>
        <w:pStyle w:val="ListBullet"/>
        <w:spacing w:after="40"/>
        <w:ind w:left="360"/>
      </w:pPr>
      <w:r>
        <w:rPr>
          <w:rFonts w:ascii="Calibri" w:hAnsi="Calibri"/>
          <w:sz w:val="22"/>
        </w:rPr>
        <w:t>Intune SGC populates endpoint CIs with software inventory — providing the asset data HAM workflows depend on</w:t>
      </w:r>
    </w:p>
    <w:p>
      <w:pPr>
        <w:pStyle w:val="ListBullet"/>
        <w:spacing w:after="40"/>
        <w:ind w:left="360"/>
      </w:pPr>
      <w:r>
        <w:rPr>
          <w:rFonts w:ascii="Calibri" w:hAnsi="Calibri"/>
          <w:sz w:val="22"/>
        </w:rPr>
        <w:t>Qualys or Tenable SGCs enrich CIs with vulnerability data — connecting security findings to the infrastructure they affect</w:t>
      </w:r>
    </w:p>
    <w:p>
      <w:pPr>
        <w:pStyle w:val="Heading1"/>
      </w:pPr>
      <w:r>
        <w:t>3.  What ServiceNow Delivers Out of the Box</w:t>
      </w:r>
    </w:p>
    <w:p>
      <w:pPr>
        <w:spacing w:after="160" w:before="0"/>
      </w:pPr>
      <w:r>
        <w:rPr>
          <w:rFonts w:ascii="Calibri" w:hAnsi="Calibri"/>
          <w:color w:val="1A1A1A"/>
          <w:sz w:val="22"/>
        </w:rPr>
        <w:t>ServiceNow's OOTB Service Graph Connector catalog covers the most common enterprise infrastructure platforms. The following represent the connectors most relevant to typical ECS Federal engagements.</w:t>
      </w:r>
    </w:p>
    <w:tbl>
      <w:tblPr>
        <w:tblW w:type="auto" w:w="0"/>
        <w:jc w:val="left"/>
        <w:tblLook w:firstColumn="1" w:firstRow="1" w:lastColumn="0" w:lastRow="0" w:noHBand="0" w:noVBand="1" w:val="04A0"/>
      </w:tblPr>
      <w:tblGrid>
        <w:gridCol w:w="4680"/>
        <w:gridCol w:w="4680"/>
      </w:tblGrid>
      <w:tr>
        <w:trPr>
          <w:tblHeader/>
        </w:trPr>
        <w:tc>
          <w:tcPr>
            <w:tcW w:type="dxa" w:w="403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Capability</w:t>
            </w:r>
          </w:p>
        </w:tc>
        <w:tc>
          <w:tcPr>
            <w:tcW w:type="dxa" w:w="829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What It Does for Your Team</w:t>
            </w:r>
          </w:p>
        </w:tc>
      </w:tr>
      <w:tr>
        <w:tc>
          <w:tcPr>
            <w:tcW w:type="dxa" w:w="403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AWS Service Graph Connector</w:t>
            </w:r>
          </w:p>
        </w:tc>
        <w:tc>
          <w:tcPr>
            <w:tcW w:type="dxa" w:w="829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Populates EC2, S3, RDS, Lambda, VPC, and other AWS resources as CMDB CIs with relationship mapping</w:t>
            </w:r>
          </w:p>
        </w:tc>
      </w:tr>
      <w:tr>
        <w:tc>
          <w:tcPr>
            <w:tcW w:type="dxa" w:w="403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Azure Service Graph Connector</w:t>
            </w:r>
          </w:p>
        </w:tc>
        <w:tc>
          <w:tcPr>
            <w:tcW w:type="dxa" w:w="829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Populates Azure VMs, App Services, SQL Databases, Virtual Networks, and Entra ID objects</w:t>
            </w:r>
          </w:p>
        </w:tc>
      </w:tr>
      <w:tr>
        <w:tc>
          <w:tcPr>
            <w:tcW w:type="dxa" w:w="403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VMware vCenter Connector</w:t>
            </w:r>
          </w:p>
        </w:tc>
        <w:tc>
          <w:tcPr>
            <w:tcW w:type="dxa" w:w="829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Populates VMs, hosts, clusters, and datastore CIs from on-premises VMware environments</w:t>
            </w:r>
          </w:p>
        </w:tc>
      </w:tr>
      <w:tr>
        <w:tc>
          <w:tcPr>
            <w:tcW w:type="dxa" w:w="403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Microsoft Intune Connector</w:t>
            </w:r>
          </w:p>
        </w:tc>
        <w:tc>
          <w:tcPr>
            <w:tcW w:type="dxa" w:w="829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Populates endpoint CIs with hardware, OS, and software inventory — feeds HAM and endpoint management</w:t>
            </w:r>
          </w:p>
        </w:tc>
      </w:tr>
      <w:tr>
        <w:tc>
          <w:tcPr>
            <w:tcW w:type="dxa" w:w="403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Qualys / Tenable Connectors</w:t>
            </w:r>
          </w:p>
        </w:tc>
        <w:tc>
          <w:tcPr>
            <w:tcW w:type="dxa" w:w="829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Enriches CI records with vulnerability scan findings and risk scores</w:t>
            </w:r>
          </w:p>
        </w:tc>
      </w:tr>
      <w:tr>
        <w:tc>
          <w:tcPr>
            <w:tcW w:type="dxa" w:w="403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Okta Connector</w:t>
            </w:r>
          </w:p>
        </w:tc>
        <w:tc>
          <w:tcPr>
            <w:tcW w:type="dxa" w:w="829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Populates application and user relationship data from identity management</w:t>
            </w:r>
          </w:p>
        </w:tc>
      </w:tr>
      <w:tr>
        <w:tc>
          <w:tcPr>
            <w:tcW w:type="dxa" w:w="403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ServiceNow Discovery (complementary)</w:t>
            </w:r>
          </w:p>
        </w:tc>
        <w:tc>
          <w:tcPr>
            <w:tcW w:type="dxa" w:w="829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Connectors and Discovery work together — each covers what the other cannot</w:t>
            </w:r>
          </w:p>
        </w:tc>
      </w:tr>
    </w:tbl>
    <w:p>
      <w:pPr>
        <w:spacing w:after="40"/>
      </w:pPr>
    </w:p>
    <w:p>
      <w:r>
        <w:br w:type="page"/>
      </w:r>
    </w:p>
    <w:p>
      <w:pPr>
        <w:pStyle w:val="Heading1"/>
      </w:pPr>
      <w:r>
        <w:t>4.  The Key Decisions You Will Make in Our Workshop</w:t>
      </w:r>
    </w:p>
    <w:p>
      <w:pPr>
        <w:spacing w:after="160" w:before="0"/>
      </w:pPr>
      <w:r>
        <w:rPr>
          <w:rFonts w:ascii="Calibri" w:hAnsi="Calibri"/>
          <w:color w:val="1A1A1A"/>
          <w:sz w:val="22"/>
        </w:rPr>
        <w:t>These are the Service Graph Connector decisions for the workshop.</w:t>
      </w:r>
    </w:p>
    <w:p>
      <w:pPr>
        <w:pStyle w:val="Heading2"/>
      </w:pPr>
      <w:r>
        <w:t>Decision 1: Connector Prioritization</w:t>
      </w:r>
    </w:p>
    <w:p>
      <w:pPr>
        <w:spacing w:after="160" w:before="0"/>
      </w:pPr>
      <w:r>
        <w:rPr>
          <w:rFonts w:ascii="Calibri" w:hAnsi="Calibri"/>
          <w:color w:val="1A1A1A"/>
          <w:sz w:val="22"/>
        </w:rPr>
        <w:t>Which Service Graph Connectors are in scope for Phase 1? The workshop will map your infrastructure environment to the available connector catalog and prioritize based on CMDB coverage impact. Connectors for cloud environments (AWS, Azure) and endpoint management (Intune) are typically the highest-value starting points.</w:t>
      </w:r>
    </w:p>
    <w:p>
      <w:pPr>
        <w:pStyle w:val="Heading2"/>
      </w:pPr>
      <w:r>
        <w:t>Decision 2: API Access and Credential Scope</w:t>
      </w:r>
    </w:p>
    <w:p>
      <w:pPr>
        <w:spacing w:after="160" w:before="0"/>
      </w:pPr>
      <w:r>
        <w:rPr>
          <w:rFonts w:ascii="Calibri" w:hAnsi="Calibri"/>
          <w:color w:val="1A1A1A"/>
          <w:sz w:val="22"/>
        </w:rPr>
        <w:t>Each connector requires API access to the source system. The workshop will define the permission scope for each connector's service account — read-only API access is sufficient for CI population and avoids write-back risks.</w:t>
      </w:r>
    </w:p>
    <w:p>
      <w:pPr>
        <w:pStyle w:val="Heading2"/>
      </w:pPr>
      <w:r>
        <w:t>Decision 3: Synchronization Frequency</w:t>
      </w:r>
    </w:p>
    <w:p>
      <w:pPr>
        <w:spacing w:after="160" w:before="0"/>
      </w:pPr>
      <w:r>
        <w:rPr>
          <w:rFonts w:ascii="Calibri" w:hAnsi="Calibri"/>
          <w:color w:val="1A1A1A"/>
          <w:sz w:val="22"/>
        </w:rPr>
        <w:t>How frequently should each connector synchronize with its source system? Cloud environments change frequently and benefit from hourly or daily sync; on-premises environments with slower change rates may synchronize weekly without losing meaningful accuracy.</w:t>
      </w:r>
    </w:p>
    <w:p>
      <w:pPr>
        <w:pStyle w:val="Heading1"/>
      </w:pPr>
      <w:r>
        <w:t>5.  Things to Think About Before We Meet</w:t>
      </w:r>
    </w:p>
    <w:p>
      <w:pPr>
        <w:spacing w:after="160" w:before="0"/>
      </w:pPr>
      <w:r>
        <w:rPr>
          <w:rFonts w:ascii="Calibri" w:hAnsi="Calibri"/>
          <w:color w:val="1A1A1A"/>
          <w:sz w:val="22"/>
        </w:rPr>
        <w:t>These questions will help map your environment to available connectors.</w:t>
      </w:r>
    </w:p>
    <w:p>
      <w:pPr>
        <w:pStyle w:val="ListBullet"/>
        <w:spacing w:after="40"/>
        <w:ind w:left="360"/>
      </w:pPr>
      <w:r>
        <w:rPr>
          <w:rFonts w:ascii="Calibri" w:hAnsi="Calibri"/>
          <w:sz w:val="22"/>
        </w:rPr>
        <w:t>What cloud platforms do you use — AWS, Azure, GCP, a combination?</w:t>
      </w:r>
    </w:p>
    <w:p>
      <w:pPr>
        <w:pStyle w:val="ListBullet"/>
        <w:spacing w:after="40"/>
        <w:ind w:left="360"/>
      </w:pPr>
      <w:r>
        <w:rPr>
          <w:rFonts w:ascii="Calibri" w:hAnsi="Calibri"/>
          <w:sz w:val="22"/>
        </w:rPr>
        <w:t>Is your endpoint estate managed through Microsoft Intune, SCCM, or another MDM platform?</w:t>
      </w:r>
    </w:p>
    <w:p>
      <w:pPr>
        <w:pStyle w:val="ListBullet"/>
        <w:spacing w:after="40"/>
        <w:ind w:left="360"/>
      </w:pPr>
      <w:r>
        <w:rPr>
          <w:rFonts w:ascii="Calibri" w:hAnsi="Calibri"/>
          <w:sz w:val="22"/>
        </w:rPr>
        <w:t>Do you use a vulnerability scanning tool (Qualys, Tenable, Rapid7)? Is there a desire to surface findings in ServiceNow?</w:t>
      </w:r>
    </w:p>
    <w:p>
      <w:pPr>
        <w:pStyle w:val="ListBullet"/>
        <w:spacing w:after="40"/>
        <w:ind w:left="360"/>
      </w:pPr>
      <w:r>
        <w:rPr>
          <w:rFonts w:ascii="Calibri" w:hAnsi="Calibri"/>
          <w:sz w:val="22"/>
        </w:rPr>
        <w:t>What on-premises virtualization platforms are in use (VMware, Hyper-V)?</w:t>
      </w:r>
    </w:p>
    <w:p>
      <w:pPr>
        <w:pStyle w:val="ListBullet"/>
        <w:spacing w:after="40"/>
        <w:ind w:left="360"/>
      </w:pPr>
      <w:r>
        <w:rPr>
          <w:rFonts w:ascii="Calibri" w:hAnsi="Calibri"/>
          <w:sz w:val="22"/>
        </w:rPr>
        <w:t>Who manages API access for your cloud platforms — cloud infrastructure team or a central platform team?</w:t>
      </w:r>
    </w:p>
    <w:p>
      <w:pPr>
        <w:spacing w:after="160" w:before="0"/>
      </w:pPr>
      <w:r>
        <w:rPr>
          <w:rFonts w:ascii="Calibri" w:hAnsi="Calibri"/>
          <w:color w:val="1A1A1A"/>
          <w:sz w:val="22"/>
        </w:rPr>
        <w:t>You do not need answers to all of these before the workshop. They are prompts for reflection, not prerequisites. Bring what you have. The workshop is where we work through the rest together.</w:t>
      </w:r>
    </w:p>
    <w:p>
      <w:pPr>
        <w:pStyle w:val="Heading2"/>
      </w:pPr>
      <w:r>
        <w:t>What to Bring to the Workshop</w:t>
      </w:r>
    </w:p>
    <w:p>
      <w:pPr>
        <w:pStyle w:val="ListBullet"/>
        <w:spacing w:after="40"/>
        <w:ind w:left="360"/>
      </w:pPr>
      <w:r>
        <w:rPr>
          <w:rFonts w:ascii="Calibri" w:hAnsi="Calibri"/>
          <w:sz w:val="22"/>
        </w:rPr>
        <w:t>Cloud platform account inventory (AWS accounts, Azure subscriptions)</w:t>
      </w:r>
    </w:p>
    <w:p>
      <w:pPr>
        <w:pStyle w:val="ListBullet"/>
        <w:spacing w:after="40"/>
        <w:ind w:left="360"/>
      </w:pPr>
      <w:r>
        <w:rPr>
          <w:rFonts w:ascii="Calibri" w:hAnsi="Calibri"/>
          <w:sz w:val="22"/>
        </w:rPr>
        <w:t>MDM/endpoint management tool details (Intune tenant, SCCM hierarchy)</w:t>
      </w:r>
    </w:p>
    <w:p>
      <w:pPr>
        <w:pStyle w:val="ListBullet"/>
        <w:spacing w:after="40"/>
        <w:ind w:left="360"/>
      </w:pPr>
      <w:r>
        <w:rPr>
          <w:rFonts w:ascii="Calibri" w:hAnsi="Calibri"/>
          <w:sz w:val="22"/>
        </w:rPr>
        <w:t>Vulnerability scanner deployment details if applicable</w:t>
      </w:r>
    </w:p>
    <w:p>
      <w:pPr>
        <w:pStyle w:val="ListBullet"/>
        <w:spacing w:after="40"/>
        <w:ind w:left="360"/>
      </w:pPr>
      <w:r>
        <w:rPr>
          <w:rFonts w:ascii="Calibri" w:hAnsi="Calibri"/>
          <w:sz w:val="22"/>
        </w:rPr>
        <w:t>API access approval process contacts for cloud platforms</w:t>
      </w: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Your ECS team will follow up with a short agenda before the Service Graph Connectors workshop. If you have questions after reading this document, reach out to your ECS engagement manager — we are happy to walk through any section in advance.</w:t>
      </w:r>
    </w:p>
    <w:sectPr w:rsidR="00FC693F" w:rsidRPr="0006063C" w:rsidSect="00034616">
      <w:headerReference w:type="default" r:id="rId9"/>
      <w:footerReference w:type="default" r:id="rId10"/>
      <w:pgSz w:w="12240" w:h="15840"/>
      <w:pgMar w:top="1152" w:right="1440" w:bottom="1152" w:left="144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Pr>
    <w:r>
      <w:rPr>
        <w:rFonts w:ascii="Calibri" w:hAnsi="Calibri"/>
        <w:color w:val="475569"/>
        <w:sz w:val="16"/>
      </w:rPr>
      <w:t>ECS Federal · ServiceNow Practice  ·  Confidential</w:t>
    </w:r>
    <w:r>
      <w:tab/>
    </w:r>
    <w:r>
      <w:rPr>
        <w:rFonts w:ascii="Calibri" w:hAnsi="Calibri"/>
        <w:color w:val="475569"/>
        <w:sz w:val="16"/>
      </w:rPr>
      <w:t xml:space="preserve">Page </w:t>
    </w:r>
    <w:r>
      <w:rPr>
        <w:rFonts w:ascii="Calibri" w:hAnsi="Calibri"/>
        <w:color w:val="475569"/>
        <w:sz w:val="16"/>
      </w:rPr>
      <w:fldChar w:fldCharType="begin"/>
      <w:instrText>PAGE</w:instrText>
      <w:fldChar w:fldCharType="separate"/>
      <w:fldChar w:fldCharType="end"/>
    </w:r>
    <w:r>
      <w:rPr>
        <w:rFonts w:ascii="Calibri" w:hAnsi="Calibri"/>
        <w:color w:val="475569"/>
        <w:sz w:val="16"/>
      </w:rPr>
      <w:t xml:space="preserve"> of </w:t>
    </w:r>
    <w:r>
      <w:rPr>
        <w:rFonts w:ascii="Calibri" w:hAnsi="Calibri"/>
        <w:color w:val="475569"/>
        <w:sz w:val="16"/>
      </w:rPr>
      <w:fldChar w:fldCharType="begin"/>
      <w:instrText>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color="14B8A6" w:sz="8" w:space="1"/>
      </w:pBdr>
      <w:tabs>
        <w:tab w:val="right" w:pos="9360"/>
      </w:tabs>
    </w:pPr>
    <w:r/>
    <w:r>
      <w:tab/>
    </w:r>
    <w:r>
      <w:rPr>
        <w:rFonts w:ascii="Calibri" w:hAnsi="Calibri"/>
        <w:color w:val="475569"/>
        <w:spacing w:val="30"/>
        <w:sz w:val="18"/>
      </w:rPr>
      <w:t>Workshop Pre-Read  ·  Service Graph Connectors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cs="Calibri" w:eastAsia="Calibri"/>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cs="Calibri" w:eastAsia="Calibri"/>
      <w:b/>
      <w:bCs/>
      <w:color w:val="0B1F3A"/>
      <w:sz w:val="26"/>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cs="Calibri" w:eastAsia="Calibri"/>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cs="Calibri" w:eastAsia="Calibri"/>
      <w:b/>
      <w:color w:val="0B1F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