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UAT and Why Does It Matter?</w:t>
      </w:r>
    </w:p>
    <w:p>
      <w:pPr>
        <w:spacing w:after="160" w:before="0"/>
      </w:pPr>
      <w:r>
        <w:rPr>
          <w:rFonts w:ascii="Calibri" w:hAnsi="Calibri"/>
          <w:color w:val="1A1A1A"/>
          <w:sz w:val="22"/>
        </w:rPr>
        <w:t>User Acceptance Testing (UAT) is your organization's opportunity to validate that ServiceNow has been configured to meet your business requirements before it goes live. It is conducted by your business users — the people who will actually use the system — not by ECS or by IT.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UAT is not a technical test. It is a business validation. Your testers are answering one question: Does ServiceNow work the way my team needs it to work? ECS handles the technical testing. Your team validates the business outcomes.</w:t>
      </w:r>
    </w:p>
    <w:p>
      <w:pPr>
        <w:pStyle w:val="Heading1"/>
      </w:pPr>
      <w:r>
        <w:t>2.  What UAT Is — and Is Not</w:t>
      </w:r>
    </w:p>
    <w:tbl>
      <w:tblPr>
        <w:tblW w:type="auto" w:w="0"/>
        <w:jc w:val="left"/>
        <w:tblLook w:firstColumn="1" w:firstRow="1" w:lastColumn="0" w:lastRow="0" w:noHBand="0" w:noVBand="1" w:val="04A0"/>
      </w:tblPr>
      <w:tblGrid>
        <w:gridCol w:w="4680"/>
        <w:gridCol w:w="4680"/>
      </w:tblGrid>
      <w:tr>
        <w:trPr>
          <w:tblHeader/>
        </w:trPr>
        <w:tc>
          <w:tcPr>
            <w:tcW w:type="dxa" w:w="68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UAT IS</w:t>
            </w:r>
          </w:p>
        </w:tc>
        <w:tc>
          <w:tcPr>
            <w:tcW w:type="dxa" w:w="68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UAT IS NOT</w:t>
            </w:r>
          </w:p>
        </w:tc>
      </w:tr>
      <w:tr>
        <w:tc>
          <w:tcPr>
            <w:tcW w:type="dxa" w:w="68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Validating that business processes work end-to-end in the configured system</w:t>
            </w:r>
          </w:p>
        </w:tc>
        <w:tc>
          <w:tcPr>
            <w:tcW w:type="dxa" w:w="68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Testing whether ServiceNow has bugs (ServiceNow handles that)</w:t>
            </w:r>
          </w:p>
        </w:tc>
      </w:tr>
      <w:tr>
        <w:tc>
          <w:tcPr>
            <w:tcW w:type="dxa" w:w="68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Confirming that agreed workshop decisions are reflected in the configuration</w:t>
            </w:r>
          </w:p>
        </w:tc>
        <w:tc>
          <w:tcPr>
            <w:tcW w:type="dxa" w:w="68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Requesting new features that were not agreed in workshops</w:t>
            </w:r>
          </w:p>
        </w:tc>
      </w:tr>
      <w:tr>
        <w:tc>
          <w:tcPr>
            <w:tcW w:type="dxa" w:w="68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Identifying genuine gaps between what was agreed and what was configured</w:t>
            </w:r>
          </w:p>
        </w:tc>
        <w:tc>
          <w:tcPr>
            <w:tcW w:type="dxa" w:w="68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Comparing the new system to the old system feature-by-feature</w:t>
            </w:r>
          </w:p>
        </w:tc>
      </w:tr>
      <w:tr>
        <w:tc>
          <w:tcPr>
            <w:tcW w:type="dxa" w:w="68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Providing sign-off that the system is ready for production use</w:t>
            </w:r>
          </w:p>
        </w:tc>
        <w:tc>
          <w:tcPr>
            <w:tcW w:type="dxa" w:w="68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 open-ended period to continue making configuration requests</w:t>
            </w:r>
          </w:p>
        </w:tc>
      </w:tr>
    </w:tbl>
    <w:p>
      <w:pPr>
        <w:spacing w:after="40"/>
      </w:pPr>
    </w:p>
    <w:p>
      <w:pPr>
        <w:pStyle w:val="Heading1"/>
      </w:pPr>
      <w:r>
        <w:t>3.  Your UAT Team</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72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Responsibilities</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 Required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Lead</w:t>
            </w:r>
          </w:p>
        </w:tc>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Coordinates tester schedules; assigns test scenarios; runs daily standups; escalates issues to ECS EM; provides go/no-go recommendation to Project Sponsor</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~50% of Sprint 6 duration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Business Tester (per process area)</w:t>
            </w:r>
          </w:p>
        </w:tc>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Executes assigned test scenarios; records results in the Test Scenario Pack; logs defects using the Defect Reporting Template; re-tests fixed defects</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~4-6 hours per tester per UAT sprint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Sponsor</w:t>
            </w:r>
          </w:p>
        </w:tc>
        <w:tc>
          <w:tcPr>
            <w:tcW w:type="dxa" w:w="72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Attends go/no-go review; makes final go-live authorization decision</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hour for go/no-go review</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Lead / Admin</w:t>
            </w:r>
          </w:p>
        </w:tc>
        <w:tc>
          <w:tcPr>
            <w:tcW w:type="dxa" w:w="72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Supports environment issues; re-deploys fixes from ECS; manages test data if needed</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Available on-call during UAT; ~2 hours per day</w:t>
            </w:r>
          </w:p>
        </w:tc>
      </w:tr>
    </w:tbl>
    <w:p>
      <w:pPr>
        <w:spacing w:after="40"/>
      </w:pPr>
    </w:p>
    <w:p>
      <w:pPr>
        <w:pStyle w:val="Heading1"/>
      </w:pPr>
      <w:r>
        <w:t>4.  The UAT Process — Step by Step</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Happens</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Your Role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Kickoff (Day 1)</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facilitates a 1-hour kickoff: walk through test scenarios, explain pass/fail criteria, confirm tester assignments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Lead and all testers attend; confirm access to the TEST environment</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Execution (Days 1-8)</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Testers work through assigned scenarios; ECS Lead is available for questions; daily 15-minute standup to review progress</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Testers execute scenarios and record results; UAT Lead monitors progress and escalates blockers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Defect Triage (Rolling)</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reviews logged defects daily; classifies severity; assigns fixes; notifies testers when fixes are ready for re-test</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Lead confirms defect descriptions are clear; testers re-test fixed defects promptly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Go/No-Go Review (Final Day)</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presents UAT results summary to Project Sponsor; recommends Go or No-Go</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 makes the go-live authorization decision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Production Deployment (post-UAT)</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deploys approved configuration to Production; customer IT monitors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Lead confirms production deployment window; UAT Lead confirms no open Severity 1/2 defects</w:t>
            </w:r>
          </w:p>
        </w:tc>
      </w:tr>
    </w:tbl>
    <w:p>
      <w:pPr>
        <w:spacing w:after="40"/>
      </w:pPr>
    </w:p>
    <w:p>
      <w:pPr>
        <w:pStyle w:val="Heading1"/>
      </w:pPr>
      <w:r>
        <w:t>5.  Pass/Fail Criteria — Plain Language</w:t>
      </w:r>
    </w:p>
    <w:tbl>
      <w:tblPr>
        <w:tblW w:type="auto" w:w="0"/>
        <w:jc w:val="left"/>
        <w:tblLook w:firstColumn="1" w:firstRow="1" w:lastColumn="0" w:lastRow="0" w:noHBand="0" w:noVBand="1" w:val="04A0"/>
      </w:tblPr>
      <w:tblGrid>
        <w:gridCol w:w="3120"/>
        <w:gridCol w:w="3120"/>
        <w:gridCol w:w="312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Result</w:t>
            </w:r>
          </w:p>
        </w:tc>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Means</w:t>
            </w:r>
          </w:p>
        </w:tc>
        <w:tc>
          <w:tcPr>
            <w:tcW w:type="dxa" w:w="64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Happens Next</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PASS</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system did exactly what the test scenario described</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Mark Pass in the Test Scenario Pack; move to next scenario</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FAIL</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system behaved differently from what the test scenario described</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Log a defect using the Defect Reporting Template; notify ECS Lead same day</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BLOCKED</w:t>
            </w:r>
          </w:p>
        </w:tc>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You could not run the test because of an environment issue, missing data, or access problem</w:t>
            </w:r>
          </w:p>
        </w:tc>
        <w:tc>
          <w:tcPr>
            <w:tcW w:type="dxa" w:w="64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Notify ECS Lead immediately; do not mark as Fail — blocked means the test could not run, not that it failed</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SKIP</w:t>
            </w:r>
          </w:p>
        </w:tc>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scenario is agreed to be out of scope for this UAT cycle</w:t>
            </w:r>
          </w:p>
        </w:tc>
        <w:tc>
          <w:tcPr>
            <w:tcW w:type="dxa" w:w="64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Requires UAT Lead and ECS EM written approval before marking as Skip</w:t>
            </w:r>
          </w:p>
        </w:tc>
      </w:tr>
    </w:tbl>
    <w:p>
      <w:pPr>
        <w:spacing w:after="40"/>
      </w:pPr>
    </w:p>
    <w:p>
      <w:pPr>
        <w:pStyle w:val="Heading1"/>
      </w:pPr>
      <w:r>
        <w:t>6.  What Happens With Defects</w:t>
      </w:r>
    </w:p>
    <w:p>
      <w:pPr>
        <w:spacing w:after="160" w:before="0"/>
      </w:pPr>
      <w:r>
        <w:rPr>
          <w:rFonts w:ascii="Calibri" w:hAnsi="Calibri"/>
          <w:color w:val="1A1A1A"/>
          <w:sz w:val="22"/>
        </w:rPr>
        <w:t>Not every issue logged in UAT is a defect that needs to be fixed before go-live. ECS will review and classify each logged issue:</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Classification</w:t>
            </w:r>
          </w:p>
        </w:tc>
        <w:tc>
          <w:tcPr>
            <w:tcW w:type="dxa" w:w="79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Means for Go-Live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Severity 1 — Critical: core workflow completely broken</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Blocks go-live — must be fixed and re-tested</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2 — High: important feature impaired but workaround exists</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Blocks go-live unless formally deferred by Project Sponsor in writing</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Severity 3 — Medium: minor inconsistency, acceptable workaround</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Does not block go-live — fixed in first hypercare sprint</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Severity 4 — Low: cosmetic or very minor issue</w:t>
            </w:r>
          </w:p>
        </w:tc>
        <w:tc>
          <w:tcPr>
            <w:tcW w:type="dxa" w:w="79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Does not block go-live — scheduled in backlog</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 Confirmation: system works as OOTB, but user expected legacy behavior that was agreed as OOTB in workshops</w:t>
            </w:r>
          </w:p>
        </w:tc>
        <w:tc>
          <w:tcPr>
            <w:tcW w:type="dxa" w:w="79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Does not block go-live — ECS documents the workshop decision and communicates to the tester</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CLT-UAT-01 UAT Customer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