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Purpose</w:t>
      </w:r>
    </w:p>
    <w:p>
      <w:pPr>
        <w:spacing w:after="160" w:before="0"/>
      </w:pPr>
      <w:r>
        <w:rPr>
          <w:rFonts w:ascii="Calibri" w:hAnsi="Calibri"/>
          <w:color w:val="1A1A1A"/>
          <w:sz w:val="22"/>
        </w:rPr>
        <w:t>This checklist must be completed and signed by both the ECS Engagement Manager and the Customer Project Sponsor before production deployment. Any unchecked item must either be resolved or formally accepted as a known risk before the go-live decision is made.</w:t>
      </w:r>
    </w:p>
    <w:p>
      <w:pPr>
        <w:pStyle w:val="Heading1"/>
      </w:pPr>
      <w:r>
        <w:t>2.  1. UAT Completion</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64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 (Y/N)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Notes</w:t>
            </w:r>
          </w:p>
        </w:tc>
      </w:tr>
      <w:tr>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pass rate is 95% or above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Zero open Severity 1 defects</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Severity 2 defects resolved OR formally deferred with Project Sponsor approval in writing</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 / Project Sponsor</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All Scope Confirmations communicated and acknowledged by UAT Lead</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UAT Lead has signed UAT completion confirmation</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Lead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Style w:val="Heading1"/>
      </w:pPr>
      <w:r>
        <w:t>3.  2. Technical Readiness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64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 (Y/N)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Notes</w:t>
            </w:r>
          </w:p>
        </w:tc>
      </w:tr>
      <w:tr>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Sprint update sets exported from DEV, tested in TEST, and ready for PROD import</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Production instance admin credentials confirmed and accessible to ECS team for deployment window</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IT Lead</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Rollback plan documented and agreed (what happens if go-live fails)</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 / Customer IT</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All integrations tested end-to-end in TEST environment</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(if applicable) installed and confirmed in PROD</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IT Lead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PROD import and deployment estimated duration confirmed</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Production change record raised in customer change management process (if applicable)</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IT Lead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Style w:val="Heading1"/>
      </w:pPr>
      <w:r>
        <w:t>4.  3. Operational Readiness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64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 (Y/N)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Notes</w:t>
            </w:r>
          </w:p>
        </w:tc>
      </w:tr>
      <w:tr>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desk team trained and ready to take live tickets on Day 1</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Service Desk Manager</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articles published and accessible in Employee Center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 / Customer KB Owner</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Communication sent to all end users announcing go-live date and self-service access</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PM / Comms Lead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Management reporting (PA dashboards) confirmed accessible by IT Director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Hypercare support process communicated to all stakeholders (who to call, how to log issues)</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IT admin can perform Tier 3 configuration changes independently</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 (confirmed via knowledge transfer)</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Style w:val="Heading1"/>
      </w:pPr>
      <w:r>
        <w:t>5.  Go-Live Authorization</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Name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Signature</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Date</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(GO / NO-GO)</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Engagement Manager</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Project Sponsor</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spacing w:after="160" w:before="0"/>
      </w:pPr>
      <w:r>
        <w:rPr>
          <w:rFonts w:ascii="Calibri" w:hAnsi="Calibri"/>
          <w:color w:val="1A1A1A"/>
          <w:sz w:val="22"/>
        </w:rPr>
        <w:t>If NO-GO: document the reason(s) below and agree a revised deployment date:</w:t>
      </w:r>
    </w:p>
    <w:p>
      <w:pPr>
        <w:spacing w:after="160" w:before="0"/>
      </w:pPr>
      <w:r>
        <w:rPr>
          <w:rFonts w:ascii="Calibri" w:hAnsi="Calibri"/>
          <w:color w:val="1A1A1A"/>
          <w:sz w:val="22"/>
        </w:rPr>
        <w:t>Reason for NO-GO: _______________________________________________</w:t>
      </w:r>
    </w:p>
    <w:p>
      <w:pPr>
        <w:spacing w:after="160" w:before="0"/>
      </w:pPr>
      <w:r>
        <w:rPr>
          <w:rFonts w:ascii="Calibri" w:hAnsi="Calibri"/>
          <w:color w:val="1A1A1A"/>
          <w:sz w:val="22"/>
        </w:rPr>
        <w:t>Revised deployment date: _______________________________________________</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CLT-CO-02 Go-Live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