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What Is Hypercare?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Hypercare is the [duration] period immediately following production go-live during which ECS Federal provides elevated support to your organization. Hypercare is defined in your SOW. This document describes how that support works in practice.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Hypercare is not a continuation of the engagement. ECS is not building new features during hypercare. Hypercare covers: post-go-live issue triage, configuration fixes for genuine defects, support for your IT team as they learn to administer the platform, and knowledge transfer completion.</w:t>
      </w:r>
    </w:p>
    <w:p>
      <w:pPr>
        <w:pStyle w:val="Heading1"/>
      </w:pPr>
      <w:r>
        <w:t>2.  Hypercare SLAs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Issue Type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Definition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Response Time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Resolution Target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Severity 1 — Outage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Core platform functionality unavailable to all users (e.g., cannot log in, cannot submit incidents)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30 minutes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Same business day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Severity 2 — Degraded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Key feature impaired; workaround possible but unacceptable for production operations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business hours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Within 2 business days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Severity 3 — Impaired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Non-critical feature issue; acceptable workaround exists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 business day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Within 5 business days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Severity 4 — Cosmetic / Enhancement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Low-impact issue or configuration refinement request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business days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Scheduled in next hypercare sprint</w:t>
            </w:r>
          </w:p>
        </w:tc>
      </w:tr>
    </w:tbl>
    <w:p>
      <w:pPr>
        <w:spacing w:after="40"/>
      </w:pPr>
    </w:p>
    <w:p>
      <w:pPr>
        <w:pStyle w:val="Heading1"/>
      </w:pPr>
      <w:r>
        <w:t>3.  How to Contact ECS During Hypercare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Contact Method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For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Contact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Consultant — Direct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Severity 1, 2, 3 technical issues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 — phone and email]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Engagement Manager — Direct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Severity 1 escalations; scope/commercial questions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 — phone and email]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Shared hypercare email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issue logging (Severity 3 and 4)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[email — e.g., ecs-hypercare@ecsfederal.com]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Emergency escalation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Severity 1 — if no response within 30 minutes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Practice Director: [Name — phone]</w:t>
            </w:r>
          </w:p>
        </w:tc>
      </w:tr>
    </w:tbl>
    <w:p>
      <w:pPr>
        <w:spacing w:after="40"/>
      </w:pPr>
    </w:p>
    <w:p>
      <w:pPr>
        <w:pStyle w:val="Heading1"/>
      </w:pPr>
      <w:r>
        <w:t>4.  Daily Standup — First Two Weeks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ECS facilitates a 15-minute daily standup with your IT Lead and Service Desk Manager for the first two weeks post-go-live. Format: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Any Severity 1 or 2 issues since yesterday?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IT Lead</w:t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Any user adoption issues or training gaps?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Desk Manager</w:t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Any open defects awaiting re-test?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</w:tr>
      <w:tr>
        <w:tc>
          <w:tcPr>
            <w:tcW w:type="dxa" w:w="79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Any upcoming changes that ECS needs to know about?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IT Lead</w:t>
            </w:r>
          </w:p>
        </w:tc>
      </w:tr>
    </w:tbl>
    <w:p>
      <w:pPr>
        <w:spacing w:after="40"/>
      </w:pPr>
    </w:p>
    <w:p>
      <w:pPr>
        <w:pStyle w:val="Heading1"/>
      </w:pPr>
      <w:r>
        <w:t>5.  What Hypercare Does NOT Cover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 Covered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Why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New feature requests or scope additions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Hypercare covers fixes, not new builds — scope additions require a new engagement or change order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Customizations not agreed during the engagement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customizations go through the Customization Council process — even during hypercare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platform bugs (not ECS configuration)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bugs are handled by ServiceNow support under your license — ECS will help you open and track the ServiceNow case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Training for new staff hired after go-live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Hypercare supports your existing team — new staff training is a separate engagement or your internal responsibility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Client · CLT-CO-03 Hypercare Support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