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 Instructions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Please complete this survey within 2 weeks of the go-live date. Your responses are used to improve ECS Federal's ServiceNow delivery practice and are treated confidentially. One survey per stakeholder — we encourage Sponsor, PM, IT Lead, and at least one Process Owner to each complete their own copy.</w:t>
      </w:r>
    </w:p>
    <w:p>
      <w:pPr>
        <w:pStyle w:val="Heading1"/>
      </w:pPr>
      <w:r>
        <w:t>2.  Section 1: Delivery Model and Process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64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Question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Rating (1-5, 5=Excellent)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Comments</w:t>
            </w:r>
          </w:p>
        </w:tc>
      </w:tr>
      <w:tr>
        <w:tc>
          <w:tcPr>
            <w:tcW w:type="dxa" w:w="64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The 18-week sprint model was effective for delivering ServiceNow capabilities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64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workshops were well-facilitated and led to clear decisions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64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demos accurately represented the work completed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64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The Customization Council process was clear and effective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64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communicated proactively about risks and issues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64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The pre-read and Decision Topic Guide materials were helpful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3.  Section 2: OOTB-First Model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64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Question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Rating (1-5)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Comments</w:t>
            </w:r>
          </w:p>
        </w:tc>
      </w:tr>
      <w:tr>
        <w:tc>
          <w:tcPr>
            <w:tcW w:type="dxa" w:w="64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 understand why ECS uses an OOTB-first delivery model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64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The OOTB approach met my organization's business requirements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64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effectively explained OOTB options before customization requests were made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64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 am confident the delivered platform will remain upgradeable and maintainable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4.  Section 3: ECS Team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64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Question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Rating (1-5)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Comments</w:t>
            </w:r>
          </w:p>
        </w:tc>
      </w:tr>
      <w:tr>
        <w:tc>
          <w:tcPr>
            <w:tcW w:type="dxa" w:w="64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The ECS Engagement Manager was responsive and effective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64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The ECS Lead Consultant demonstrated strong ServiceNow expertise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64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The ECS team was professional and easy to work with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64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was transparent about scope, risks, and delivery status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5.  Section 4: Outcomes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64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Question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Rating (1-5)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Comments</w:t>
            </w:r>
          </w:p>
        </w:tc>
      </w:tr>
      <w:tr>
        <w:tc>
          <w:tcPr>
            <w:tcW w:type="dxa" w:w="64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The delivered ServiceNow platform meets my organization's business needs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64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My team is confident using and administering the delivered platform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64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 would recommend ECS Federal's ServiceNow practice to another organization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64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Overall engagement satisfaction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6.  Open Feedback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What did ECS do exceptionally well?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________________________________________________________________________________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________________________________________________________________________________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What should ECS do differently on the next engagement?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________________________________________________________________________________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________________________________________________________________________________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Any other comments?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</w:pPr>
    <w:r>
      <w:rPr>
        <w:rFonts w:ascii="Calibri" w:hAnsi="Calibri"/>
        <w:color w:val="475569"/>
        <w:sz w:val="16"/>
      </w:rPr>
      <w:t>ECS Federal · ServiceNow Practice  ·  Confidential</w:t>
    </w:r>
    <w:r>
      <w:tab/>
    </w:r>
    <w:r>
      <w:rPr>
        <w:rFonts w:ascii="Calibri" w:hAnsi="Calibri"/>
        <w:color w:val="475569"/>
        <w:sz w:val="16"/>
      </w:rPr>
      <w:t xml:space="preserve">Page </w:t>
    </w:r>
    <w:r>
      <w:rPr>
        <w:rFonts w:ascii="Calibri" w:hAnsi="Calibri"/>
        <w:color w:val="475569"/>
        <w:sz w:val="16"/>
      </w:rPr>
      <w:fldChar w:fldCharType="begin"/>
      <w:instrText>PAGE</w:instrText>
      <w:fldChar w:fldCharType="separate"/>
      <w:fldChar w:fldCharType="end"/>
    </w:r>
    <w:r>
      <w:rPr>
        <w:rFonts w:ascii="Calibri" w:hAnsi="Calibri"/>
        <w:color w:val="475569"/>
        <w:sz w:val="16"/>
      </w:rPr>
      <w:t xml:space="preserve"> of </w:t>
    </w:r>
    <w:r>
      <w:rPr>
        <w:rFonts w:ascii="Calibri" w:hAnsi="Calibri"/>
        <w:color w:val="475569"/>
        <w:sz w:val="16"/>
      </w:rPr>
      <w:fldChar w:fldCharType="begin"/>
      <w:instrText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color="14B8A6" w:sz="8" w:space="1"/>
      </w:pBdr>
      <w:tabs>
        <w:tab w:val="right" w:pos="9360"/>
      </w:tabs>
    </w:pPr>
    <w:r>
      <w:drawing>
        <wp:inline xmlns:a="http://schemas.openxmlformats.org/drawingml/2006/main" xmlns:pic="http://schemas.openxmlformats.org/drawingml/2006/picture">
          <wp:extent cx="960120" cy="1789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verforth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178932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color w:val="475569"/>
        <w:spacing w:val="30"/>
        <w:sz w:val="18"/>
      </w:rPr>
      <w:t>Client · CLT-CO-05 Post-Implementation Survey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0B1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