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Hypercare Summary</w:t>
      </w:r>
    </w:p>
    <w:tbl>
      <w:tblPr>
        <w:tblW w:type="auto" w:w="0"/>
        <w:jc w:val="left"/>
        <w:tblLook w:firstColumn="1" w:firstRow="1" w:lastColumn="0" w:lastRow="0" w:noHBand="0" w:noVBand="1" w:val="04A0"/>
      </w:tblPr>
      <w:tblGrid>
        <w:gridCol w:w="4680"/>
        <w:gridCol w:w="4680"/>
      </w:tblGrid>
      <w:tr>
        <w:trPr>
          <w:tblHeader/>
        </w:trPr>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93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Value</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Organization</w:t>
            </w:r>
          </w:p>
        </w:tc>
        <w:tc>
          <w:tcPr>
            <w:tcW w:type="dxa" w:w="93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Name]</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Date</w:t>
            </w:r>
          </w:p>
        </w:tc>
        <w:tc>
          <w:tcPr>
            <w:tcW w:type="dxa" w:w="93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[Date]</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Hypercare Start Date</w:t>
            </w:r>
          </w:p>
        </w:tc>
        <w:tc>
          <w:tcPr>
            <w:tcW w:type="dxa" w:w="93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[Date]</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Hypercare End Date</w:t>
            </w:r>
          </w:p>
        </w:tc>
        <w:tc>
          <w:tcPr>
            <w:tcW w:type="dxa" w:w="93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[Date]</w:t>
            </w:r>
          </w:p>
        </w:tc>
      </w:tr>
      <w:tr>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93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[Name]</w:t>
            </w:r>
          </w:p>
        </w:tc>
      </w:tr>
      <w:tr>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 Consultant</w:t>
            </w:r>
          </w:p>
        </w:tc>
        <w:tc>
          <w:tcPr>
            <w:tcW w:type="dxa" w:w="93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w:t>
            </w:r>
          </w:p>
        </w:tc>
      </w:tr>
    </w:tbl>
    <w:p>
      <w:pPr>
        <w:spacing w:after="40"/>
      </w:pPr>
    </w:p>
    <w:p>
      <w:pPr>
        <w:pStyle w:val="Heading1"/>
      </w:pPr>
      <w:r>
        <w:t>2.  Issues Logged During Hypercare</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Defect ID</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Description</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Severity</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 at Hypercare Close</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Resolution</w:t>
            </w:r>
          </w:p>
        </w:tc>
      </w:tr>
      <w:tr>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Resolved / Deferred / Closed</w:t>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1"/>
      </w:pPr>
      <w:r>
        <w:t>3.  Hypercare Metrics</w:t>
      </w:r>
    </w:p>
    <w:tbl>
      <w:tblPr>
        <w:tblW w:type="auto" w:w="0"/>
        <w:jc w:val="left"/>
        <w:tblLook w:firstColumn="1" w:firstRow="1" w:lastColumn="0" w:lastRow="0" w:noHBand="0" w:noVBand="1" w:val="04A0"/>
      </w:tblPr>
      <w:tblGrid>
        <w:gridCol w:w="4680"/>
        <w:gridCol w:w="4680"/>
      </w:tblGrid>
      <w:tr>
        <w:trPr>
          <w:tblHeader/>
        </w:trPr>
        <w:tc>
          <w:tcPr>
            <w:tcW w:type="dxa" w:w="72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Metric</w:t>
            </w:r>
          </w:p>
        </w:tc>
        <w:tc>
          <w:tcPr>
            <w:tcW w:type="dxa" w:w="64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Value</w:t>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Total issues logged during hypercare</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Severity 1 issues</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Severity 2 issues</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Severity 3/4 issues</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Issues resolved during hypercare</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Issues deferred to standard support / backlog</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Average response time (Sev 1)</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Average resolution time (Sev 2)</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adoption rate at hypercare close (self-service %)</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1"/>
      </w:pPr>
      <w:r>
        <w:t>4.  Open Items at Hypercare Close</w:t>
      </w:r>
    </w:p>
    <w:p>
      <w:pPr>
        <w:spacing w:after="160" w:before="0"/>
      </w:pPr>
      <w:r>
        <w:rPr>
          <w:rFonts w:ascii="Calibri" w:hAnsi="Calibri"/>
          <w:color w:val="1A1A1A"/>
          <w:sz w:val="22"/>
        </w:rPr>
        <w:t>The following items remain open at the close of the hypercare period. These have been accepted by the Project Sponsor as known items to be addressed through standard ServiceNow administration or a future engagement:</w:t>
      </w:r>
    </w:p>
    <w:tbl>
      <w:tblPr>
        <w:tblW w:type="auto" w:w="0"/>
        <w:jc w:val="left"/>
        <w:tblLook w:firstColumn="1" w:firstRow="1" w:lastColumn="0" w:lastRow="0" w:noHBand="0" w:noVBand="1" w:val="04A0"/>
      </w:tblPr>
      <w:tblGrid>
        <w:gridCol w:w="3120"/>
        <w:gridCol w:w="3120"/>
        <w:gridCol w:w="3120"/>
      </w:tblGrid>
      <w:tr>
        <w:trPr>
          <w:tblHeader/>
        </w:trPr>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Classification</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Recommended Next Step</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Deferred Sev 3 defect / Phase 2 scope / Accepted OOTB behavior</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1"/>
      </w:pPr>
      <w:r>
        <w:t>5.  Support Transition</w:t>
      </w:r>
    </w:p>
    <w:p>
      <w:pPr>
        <w:spacing w:after="160" w:before="0"/>
      </w:pPr>
      <w:r>
        <w:rPr>
          <w:rFonts w:ascii="Calibri" w:hAnsi="Calibri"/>
          <w:color w:val="1A1A1A"/>
          <w:sz w:val="22"/>
        </w:rPr>
        <w:t>Upon the signing of this report, ECS Federal's hypercare obligations under the SOW are complete. Going forward:</w:t>
      </w:r>
    </w:p>
    <w:p>
      <w:pPr>
        <w:spacing w:after="160" w:before="0"/>
      </w:pPr>
      <w:r>
        <w:rPr>
          <w:rFonts w:ascii="Calibri" w:hAnsi="Calibri"/>
          <w:color w:val="1A1A1A"/>
          <w:sz w:val="22"/>
        </w:rPr>
        <w:t>- Platform-level issues: Contact ServiceNow Support via your license agreement</w:t>
        <w:br/>
        <w:t>- Configuration questions: Contact your ECS Engagement Manager to scope a support retainer or new engagement</w:t>
        <w:br/>
        <w:t>- Tier 3 configuration (as trained): Your internal ServiceNow Administrator</w:t>
        <w:br/>
        <w:t>- Emergency platform outage: Contact ServiceNow Support Priority line under your license</w:t>
      </w:r>
    </w:p>
    <w:p>
      <w:pPr>
        <w:pStyle w:val="Heading1"/>
      </w:pPr>
      <w:r>
        <w:t>6.  Hypercare Exit Sign-Off</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Name</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Signature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Date</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Project Sponsor</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CLT-CO-06 Hypercare Exit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