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About This Pack</w:t>
      </w:r>
    </w:p>
    <w:p>
      <w:pPr>
        <w:spacing w:after="160" w:before="0"/>
      </w:pPr>
      <w:r>
        <w:rPr>
          <w:rFonts w:ascii="Calibri" w:hAnsi="Calibri"/>
          <w:color w:val="1A1A1A"/>
          <w:sz w:val="22"/>
        </w:rPr>
        <w:t>The Event Management Realization Accelerator Pack contains eight Excel workbooks that guide the ECS team and the customer through the advanced configuration required to move from a working Event Management Foundations implementation to a fully optimized, intelligent, and self-improving event operations program. This pack is the complement to AP-08 (Event Management Foundations) and is sequenced for Sprint 3–5 and the 90-day hypercare window.</w:t>
      </w:r>
    </w:p>
    <w:p>
      <w:pPr>
        <w:pStyle w:val="Heading1"/>
      </w:pPr>
      <w:r>
        <w:t>2.  Pack Contents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Owner</w:t>
            </w:r>
          </w:p>
        </w:tc>
        <w:tc>
          <w:tcPr>
            <w:tcW w:type="dxa" w:w="33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 / Phase</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Health Maps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Customer Service Owners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3–4</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Storm Management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Solution Architect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3–4</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AIOps Integration</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 Customer IT Manager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4–5</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Alert Intelligence</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Solution Architect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3–4</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Remediation Workflows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Customer IT Ops Lead</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4–5</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Advanced Correlation</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Solution Architect</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3–4</w:t>
            </w:r>
          </w:p>
        </w:tc>
      </w:tr>
      <w:tr>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07</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Analytics and KPIs</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 Service Desk Manager</w:t>
            </w:r>
          </w:p>
        </w:tc>
        <w:tc>
          <w:tcPr>
            <w:tcW w:type="dxa" w:w="33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4–5</w:t>
            </w:r>
          </w:p>
        </w:tc>
      </w:tr>
      <w:tr>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08</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and Maturity</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Delivery Manager</w:t>
            </w:r>
          </w:p>
        </w:tc>
        <w:tc>
          <w:tcPr>
            <w:tcW w:type="dxa" w:w="33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+ 90 days</w:t>
            </w:r>
          </w:p>
        </w:tc>
      </w:tr>
    </w:tbl>
    <w:p>
      <w:pPr>
        <w:spacing w:after="40"/>
      </w:pPr>
    </w:p>
    <w:p>
      <w:pPr>
        <w:pStyle w:val="Heading1"/>
      </w:pPr>
      <w:r>
        <w:t>3.  Sequencing This Pack</w:t>
      </w:r>
    </w:p>
    <w:p>
      <w:pPr>
        <w:spacing w:after="160" w:before="0"/>
      </w:pPr>
      <w:r>
        <w:rPr>
          <w:rFonts w:ascii="Calibri" w:hAnsi="Calibri"/>
          <w:color w:val="1A1A1A"/>
          <w:sz w:val="22"/>
        </w:rPr>
        <w:t>AP-09 runs after AP-08 (Foundations) is stable in production. The recommended sequence within this pack: start Workbooks 01 (Service Health Maps) and 06 (Advanced Correlation) in Sprint 3 once CI correlation rate exceeds 85%. Workbooks 02 (Storm Management) and 04 (Alert Intelligence) follow in Sprint 3–4. Workbooks 03 (AIOps) and 05 (Remediation Workflows) require 30 days of production data and activate in Sprint 4–5. Workbooks 07 (Analytics) and 08 (Hypercare) run concurrently with the rest of Sprint 4–5 and continue through the 90-day post-go-live window.</w:t>
      </w:r>
    </w:p>
    <w:p>
      <w:pPr>
        <w:pStyle w:val="Heading1"/>
      </w:pPr>
      <w:r>
        <w:t>4.  Prerequisites from AP-08</w:t>
      </w:r>
    </w:p>
    <w:tbl>
      <w:tblPr>
        <w:tblW w:type="auto" w:w="0"/>
        <w:jc w:val="left"/>
        <w:tblLook w:firstColumn="1" w:firstRow="1" w:lastColumn="0" w:lastRow="0" w:noHBand="0" w:noVBand="1" w:val="04A0"/>
      </w:tblPr>
      <w:tblGrid>
        <w:gridCol w:w="3120"/>
        <w:gridCol w:w="3120"/>
        <w:gridCol w:w="3120"/>
      </w:tblGrid>
      <w:tr>
        <w:trPr>
          <w:tblHeader/>
        </w:trPr>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Prerequisite</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Target</w:t>
            </w:r>
          </w:p>
        </w:tc>
        <w:tc>
          <w:tcPr>
            <w:tcW w:type="dxa" w:w="4493"/>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Risk If Not Met</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rate</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85%</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health maps and AIOps produce inaccurate results</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Alert promotion working for Sev 1/2</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Storm management and advanced correlation cannot be tested reliably</w:t>
            </w:r>
          </w:p>
        </w:tc>
      </w:tr>
      <w:tr>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stable (no queue backlog)</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Queue depth &lt; 100 during normal ops</w:t>
            </w:r>
          </w:p>
        </w:tc>
        <w:tc>
          <w:tcPr>
            <w:tcW w:type="dxa" w:w="4493"/>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Remediation workflows time out; event processing lag masks correlation accuracy</w:t>
            </w:r>
          </w:p>
        </w:tc>
      </w:tr>
      <w:tr>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30 days of clean production event data</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Required for AIOps training</w:t>
            </w:r>
          </w:p>
        </w:tc>
        <w:tc>
          <w:tcPr>
            <w:tcW w:type="dxa" w:w="4493"/>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AIOps activation produces worse results than no AIOps</w:t>
            </w:r>
          </w:p>
        </w:tc>
      </w:tr>
    </w:tbl>
    <w:p>
      <w:pPr>
        <w:spacing w:after="40"/>
      </w:pPr>
    </w:p>
    <w:p>
      <w:pPr>
        <w:pStyle w:val="Heading1"/>
      </w:pPr>
      <w:r>
        <w:t>5.  KPI Progression Targets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KPI</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Go-Live</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30 Days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60 Days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90 Days</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 rate</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85%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88%</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92%</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95%</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Alert-to-incident promotion (Sev 1/2)</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Auto-resolution rate</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60%</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65%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70%</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75%</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AIOps noise reduction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 (training)</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10–15%</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30%</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50%</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Operator acknowledgement within SLA</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80%</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85%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90%</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93%</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Remediation success rate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80%</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85%</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88%</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 90%</w:t>
            </w:r>
          </w:p>
        </w:tc>
      </w:tr>
    </w:tbl>
    <w:p>
      <w:pPr>
        <w:spacing w:after="40"/>
      </w:pPr>
    </w:p>
    <w:p>
      <w:pPr>
        <w:pStyle w:val="Heading1"/>
      </w:pPr>
      <w:r>
        <w:t>6.  Phase 2 Scope Candidates</w:t>
      </w:r>
    </w:p>
    <w:p>
      <w:pPr>
        <w:spacing w:after="160" w:before="0"/>
      </w:pPr>
      <w:r>
        <w:rPr>
          <w:rFonts w:ascii="Calibri" w:hAnsi="Calibri"/>
          <w:color w:val="1A1A1A"/>
          <w:sz w:val="22"/>
        </w:rPr>
        <w:t>The 90-day hypercare checkpoint (Workbook 08) is the right time to scope Phase 2. Common Phase 2 investments — all informed by 90 days of production Event Management data — include: Discovery-derived Business Service maps (replacing manual maps from Workbook 01), SIEM integration (Splunk or QRadar feeding events into ServiceNow), expanded RBA remediation scenarios for cloud workloads, and Performance Analytics capacity planning dashboards that correlate event volume trends with CI lifecycle planning.</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