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ACCELERATOR PACK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Performance Analytics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Accelerator Pack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PA -- Dashboards, Indicators, Scorecard, and Governance for ITSM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Consultants (Internal) + Customer IT Director / PA Admin (selected tabs)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AP-19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pStyle w:val="Heading1"/>
      </w:pPr>
      <w:r>
        <w:t>1.  Pack Overview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AP-19 guides the ECS team through activating and configuring OOTB Performance Analytics during Month 3 (Sprint 6) of the 18-week engagement. The pack covers dashboard inventory and scope decisions, OOTB indicator library, dashboard layout design, scorecard configuration, and ongoing governance. All work is OOTB -- no custom indicators, no scripted data collectors, and no external BI tool integrations in the 18-week scope. Custom indicators and department dashboards are documented as Phase 2 items.</w:t>
      </w:r>
    </w:p>
    <w:p>
      <w:pPr>
        <w:pStyle w:val="Heading1"/>
      </w:pPr>
      <w:r>
        <w:t>2.  Workbook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WB1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Scope &amp; Dashboard Inventory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IT Director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WB2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Indicator Library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WB3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Dashboard Design &amp; Layout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WB4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Scorecard Configuration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IT Director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WB5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Governance &amp; Review Cadence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PM + Customer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</w:tbl>
    <w:p>
      <w:pPr>
        <w:spacing w:after="40"/>
      </w:pPr>
    </w:p>
    <w:p>
      <w:pPr>
        <w:pStyle w:val="Heading1"/>
      </w:pPr>
      <w:r>
        <w:t>3.  Key OOTB Decisions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Dashboards at go-live: ITSM Executive Overview, Incident Management, Service Desk Performance. Indicators: OOTB only -- no custom indicators in 18-week scope. Data ramp-up: 2-4 weeks before dashboards show meaningful trends -- communicate to leadership upfront. Thresholds: SLA-based at go-live; revised quarterly with trend data. Governance: Named PA Admin controls all changes. Custom indicators require RFC. Phase 2: Custom indicators, department dashboards, AI-assisted forecasting -- after 6-month 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Performance Analytics Accelerator Pack · ECS Federal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