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ACCELERATOR PACK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Virtual Agent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Accelerator Pack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OOTB Now Assist VA -- Scope, NLU Design, Handoff, Analytics, Go-Live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Consultants (Internal) + Customer IT Lead / VA Admin (selected tabs)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AP-16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pPr>
        <w:pStyle w:val="Heading1"/>
      </w:pPr>
      <w:r>
        <w:t>1.  Pack Overview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AP-16 guides the ECS team through configuring the ServiceNow OOTB Now Assist Virtual Agent during Month 3 (Sprints 5-6) of the 18-week engagement. The pack covers channel and scope decisions, NLU topic design, live-agent handoff via Connect Chat and Agent Workspace, analytics KPIs, and go-live readiness. All deliverables are OOTB -- no custom ML models, no third-party ACD integration, and no JavaScript scripting within topic flows.</w:t>
      </w:r>
    </w:p>
    <w:p>
      <w:pPr>
        <w:pStyle w:val="Heading1"/>
      </w:pPr>
      <w:r>
        <w:t>2.  Workbook Inventory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Workbook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Owner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Sprint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WB1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 Scope &amp; Channel Decisions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+ Customer PM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WB2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Topic Design &amp; NLU Intent Library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+ Customer VA Admin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WB3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Live-Agent Handoff &amp; Escalation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+ Customer IT Lead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5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WB4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 Analytics &amp; Adoption Measurement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+ Customer VA Admin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  <w:tr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WB5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VA Go-Live Readiness &amp; Rollout Plan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ECS PM + Customer PM</w:t>
            </w:r>
          </w:p>
        </w:tc>
        <w:tc>
          <w:tcPr>
            <w:tcW w:type="dxa" w:w="337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Sprint 6</w:t>
            </w:r>
          </w:p>
        </w:tc>
      </w:tr>
    </w:tbl>
    <w:p>
      <w:pPr>
        <w:spacing w:after="40"/>
      </w:pPr>
    </w:p>
    <w:p>
      <w:pPr>
        <w:pStyle w:val="Heading1"/>
      </w:pPr>
      <w:r>
        <w:t>3.  Key OOTB Decisions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Channel: Employee Center portal at go-live; Teams/Slack deferred to Phase 2. Topics: 6-topic MVP; 15 is the ceiling for a 2-sprint window. NLU: OOTB Now Assist Studio -- 10-20 utterances per intent; confidence threshold 0.70. Handoff: OOTB Connect Chat to Agent Workspace IT Tier 1 queue. Analytics: OOTB VA Analytics dashboard only. KPI targets: 15% containment at 30 days; 30% at 90 days.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/>
    <w:r>
      <w:tab/>
    </w:r>
    <w:r>
      <w:rPr>
        <w:rFonts w:ascii="Calibri" w:hAnsi="Calibri"/>
        <w:color w:val="475569"/>
        <w:spacing w:val="30"/>
        <w:sz w:val="18"/>
      </w:rPr>
      <w:t>Virtual Agent Accelerator Pack · ECS Federal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