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OVERHEAD INVESTMENT REQUEST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Executive Investment Briefing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Blueprint B — Table Extends Approach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ECS Delivery Intelligence Platform · Overhead Approval Package · May 2026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Senior Director, Practice Lead, Director of Technical Services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Blueprint B Technical Architecture · ECS_ProjectPlan_BlueprintB_TableExtends.xlsx · Arch Rationale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INT-DA-EXEC-B     ·     Version: 1.0     ·     Status: For Review &amp; Approval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Confidential — Internal Use Only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10–12 Weeks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~960 Hours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5 Roles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Unlimited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Build Duration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Total Investment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Team Required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Engagements Served</w:t>
            </w:r>
          </w:p>
        </w:tc>
      </w:tr>
    </w:tbl>
    <w:p>
      <w:pPr>
        <w:spacing w:after="40"/>
      </w:pPr>
    </w:p>
    <w:p>
      <w:pPr>
        <w:pStyle w:val="Heading1"/>
      </w:pPr>
      <w:r>
        <w:t>1.  Executive Summary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Everforth is requesting internal overhead investment to build the ECS Delivery Intelligence Platform — a system that replaces manual spreadsheets and static status documents with a living, record-driven delivery management experience inside the customer's ServiceNow instance.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Blueprint B is the table-extends approach. It achieves the same outcome as Blueprint A — role-based portal, real-time health scoring, Agile and SPM integration, customer transparency — by extending ServiceNow's existing native tables rather than building a full custom application. It requires fewer hours, a less specialized developer, and no App Engine SKU on the customer instance.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The ask: Approve ~960 hours of internal overhead across 5 roles over 10–12 weeks, starting June 2026. Blueprint B delivers the same customer-facing platform as Blueprint A, faster and at lower cost, with the option to rebuild as a full custom app (Blueprint A) once the design is proven in the field.</w:t>
      </w:r>
    </w:p>
    <w:p>
      <w:pPr>
        <w:pStyle w:val="Heading1"/>
      </w:pPr>
      <w:r>
        <w:t>2.  The Opportunity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Our delivery process runs on manually maintained artifacts that are always slightly stale and require hours of upkeep every week. Blueprint B replaces that entirely — turning every delivery artifact into a live record derived from real work in the platform.</w:t>
      </w:r>
    </w:p>
    <w:p>
      <w:pPr>
        <w:pStyle w:val="Heading2"/>
      </w:pPr>
      <w:r>
        <w:t>Blueprint B's Core Advantage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Blueprint B reaches the same destination as Blueprint A — live portal, health score, replaced spreadsheets — but does it 6–8 weeks sooner and with ~440 fewer hours of investment. By working within ServiceNow's existing native table structure, we avoid the complexity of custom app certification while still delivering a fully functional platform. The first real engagement can be running on the platform by mid-August 2026.</w:t>
      </w:r>
    </w:p>
    <w:p>
      <w:pPr>
        <w:pStyle w:val="Heading2"/>
      </w:pPr>
      <w:r>
        <w:t>The Proof-of-Concept Value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Blueprint B serves as the proof-of-concept for the platform design before committing to a larger Blueprint A investment. If the portal design or health score logic needs significant changes after real-world use, it is far cheaper to discover that on a table-extends implementation than on a fully built custom application.</w:t>
      </w:r>
    </w:p>
    <w:p>
      <w:pPr>
        <w:pStyle w:val="Heading1"/>
      </w:pPr>
      <w:r>
        <w:t>3.  Investment Required — Hours by Role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following table represents the total internal overhead hours for Blueprint B. Blueprint B requires a configurator-level developer rather than a full Studio app developer, which may also reduce the per-hour cost of the primary resource.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1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Ph 0</w:t>
              <w:br/>
              <w:t>Pre-Build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Ph 1</w:t>
              <w:br/>
              <w:t>Extensions &amp; Roles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Ph 2</w:t>
              <w:br/>
              <w:t>Portal &amp; Health</w:t>
            </w:r>
          </w:p>
        </w:tc>
        <w:tc>
          <w:tcPr>
            <w:tcW w:type="dxa" w:w="19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Ph 3</w:t>
              <w:br/>
              <w:t>Integrations &amp; Content</w:t>
            </w:r>
          </w:p>
        </w:tc>
        <w:tc>
          <w:tcPr>
            <w:tcW w:type="dxa" w:w="1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Ph 4</w:t>
              <w:br/>
              <w:t>Hardening &amp; Release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TOTAL</w:t>
              <w:br/>
              <w:t>Hours</w:t>
            </w:r>
          </w:p>
        </w:tc>
        <w:tc>
          <w:tcPr>
            <w:tcW w:type="dxa" w:w="102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FTE</w:t>
              <w:br/>
              <w:t>Weeks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Lead Configurator / Developer</w:t>
            </w:r>
          </w:p>
        </w:tc>
        <w:tc>
          <w:tcPr>
            <w:tcW w:type="dxa" w:w="1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140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140</w:t>
            </w:r>
          </w:p>
        </w:tc>
        <w:tc>
          <w:tcPr>
            <w:tcW w:type="dxa" w:w="19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1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80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468</w:t>
            </w:r>
          </w:p>
        </w:tc>
        <w:tc>
          <w:tcPr>
            <w:tcW w:type="dxa" w:w="102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11.7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Delivery Manager</w:t>
            </w:r>
          </w:p>
        </w:tc>
        <w:tc>
          <w:tcPr>
            <w:tcW w:type="dxa" w:w="1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9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1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86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178</w:t>
            </w:r>
          </w:p>
        </w:tc>
        <w:tc>
          <w:tcPr>
            <w:tcW w:type="dxa" w:w="102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4.5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Content / Methodology Owner</w:t>
            </w:r>
          </w:p>
        </w:tc>
        <w:tc>
          <w:tcPr>
            <w:tcW w:type="dxa" w:w="1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19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48</w:t>
            </w:r>
          </w:p>
        </w:tc>
        <w:tc>
          <w:tcPr>
            <w:tcW w:type="dxa" w:w="1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72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156</w:t>
            </w:r>
          </w:p>
        </w:tc>
        <w:tc>
          <w:tcPr>
            <w:tcW w:type="dxa" w:w="102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3.9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QA / ATF Engineer</w:t>
            </w:r>
          </w:p>
        </w:tc>
        <w:tc>
          <w:tcPr>
            <w:tcW w:type="dxa" w:w="1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19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48</w:t>
            </w:r>
          </w:p>
        </w:tc>
        <w:tc>
          <w:tcPr>
            <w:tcW w:type="dxa" w:w="1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148</w:t>
            </w:r>
          </w:p>
        </w:tc>
        <w:tc>
          <w:tcPr>
            <w:tcW w:type="dxa" w:w="102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3.7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Leader (reviews only)</w:t>
            </w:r>
          </w:p>
        </w:tc>
        <w:tc>
          <w:tcPr>
            <w:tcW w:type="dxa" w:w="1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9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02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0.5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TOTAL — ALL ROLES</w:t>
            </w:r>
          </w:p>
        </w:tc>
        <w:tc>
          <w:tcPr>
            <w:tcW w:type="dxa" w:w="1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190</w:t>
            </w:r>
          </w:p>
        </w:tc>
        <w:tc>
          <w:tcPr>
            <w:tcW w:type="dxa" w:w="15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250</w:t>
            </w:r>
          </w:p>
        </w:tc>
        <w:tc>
          <w:tcPr>
            <w:tcW w:type="dxa" w:w="19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224</w:t>
            </w:r>
          </w:p>
        </w:tc>
        <w:tc>
          <w:tcPr>
            <w:tcW w:type="dxa" w:w="1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282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970</w:t>
            </w:r>
          </w:p>
        </w:tc>
        <w:tc>
          <w:tcPr>
            <w:tcW w:type="dxa" w:w="102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24.3</w:t>
            </w:r>
          </w:p>
        </w:tc>
      </w:tr>
    </w:tbl>
    <w:p>
      <w:pPr>
        <w:spacing w:after="40"/>
      </w:pP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FTE equivalent: 970 hours ÷ 40 hrs/week = 24.3 FTE weeks total across all roles — 31% fewer than Blueprint A. The Lead Configurator is the critical path resource at ~12 FTE weeks; a configurator-level developer (rather than Studio app developer) reduces both cost and scarcity risk.</w:t>
      </w:r>
    </w:p>
    <w:p>
      <w:pPr>
        <w:pStyle w:val="Heading2"/>
      </w:pPr>
      <w:r>
        <w:t>Role Profiles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Profile Needed</w:t>
            </w:r>
          </w:p>
        </w:tc>
        <w:tc>
          <w:tcPr>
            <w:tcW w:type="dxa" w:w="483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Can Be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Lead Configurator / Developer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table extensions, portal development, business rules, scripted APIs — no Studio required</w:t>
            </w:r>
          </w:p>
        </w:tc>
        <w:tc>
          <w:tcPr>
            <w:tcW w:type="dxa" w:w="483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Senior SNow developer or configurator; lower scarcity than Blueprint A Studio developer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Delivery Manager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methodology knowledge; portal UX input; content review</w:t>
            </w:r>
          </w:p>
        </w:tc>
        <w:tc>
          <w:tcPr>
            <w:tcW w:type="dxa" w:w="483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Existing ECS delivery manager with bandwidth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Content / Methodology Owner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Deep knowledge of ECS collateral; tagging and loading existing docs</w:t>
            </w:r>
          </w:p>
        </w:tc>
        <w:tc>
          <w:tcPr>
            <w:tcW w:type="dxa" w:w="483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Senior consultant or existing DM; can be part-time Phase 1–2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QA / ATF Engineer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ATF framework; test case design</w:t>
            </w:r>
          </w:p>
        </w:tc>
        <w:tc>
          <w:tcPr>
            <w:tcW w:type="dxa" w:w="483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Senior developer performing peer QA role; does not need to be dedicated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Leader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Milestone review and strategic sign-off</w:t>
            </w:r>
          </w:p>
        </w:tc>
        <w:tc>
          <w:tcPr>
            <w:tcW w:type="dxa" w:w="483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Senior Director — 4 hours per phase review only</w:t>
            </w:r>
          </w:p>
        </w:tc>
      </w:tr>
    </w:tbl>
    <w:p>
      <w:pPr>
        <w:spacing w:after="40"/>
      </w:pPr>
    </w:p>
    <w:p>
      <w:pPr>
        <w:pStyle w:val="Heading1"/>
      </w:pPr>
      <w:r>
        <w:t>4.  Timeline Summary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Blueprint B runs 10–12 weeks from decision to v1.0 release — 6–8 weeks faster than Blueprint A. The shorter timeline is driven by removing the custom app scaffolding (Phase 1 Foundation) and replacing it with direct table extensions that can begin immediately.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Phase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Calendar Weeks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Target Dates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Key Milestone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0 — Pre-Build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Weeks −2 to 0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May – Jun 2026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Architecture decision; PDI live; field extension design confirmed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1 — Extensions &amp; Roles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Weeks 1–3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Jun 2026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v0.3: all u_ecs_ fields deployed, role groups configured, ACLs live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 — Portal &amp; Health Engine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Weeks 4–7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Jun–Jul 2026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v0.6: all portal pages, health score live, customer access working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3 — Integrations &amp; Content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Weeks 8–10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Jul–Aug 2026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v0.8: Agile velocity, SPM milestones, KB content tagged and surfaced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4 — Hardening &amp; Release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Weeks 11–12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Aug 2026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v1.0: ATF coverage, hardening, pilot on first engagement</w:t>
            </w:r>
          </w:p>
        </w:tc>
      </w:tr>
    </w:tbl>
    <w:p>
      <w:pPr>
        <w:spacing w:after="40"/>
      </w:pP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First engagement target: mid-August 2026. Blueprint B puts a working delivery platform in consultants' hands 6–8 weeks before Blueprint A. That is one full engagement cycle of real-world validation before the Blueprint A investment decision needs to be final.</w:t>
      </w:r>
    </w:p>
    <w:p>
      <w:pPr>
        <w:pStyle w:val="Heading1"/>
      </w:pPr>
      <w:r>
        <w:t>5.  Risk Profile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Risk Level</w:t>
            </w:r>
          </w:p>
        </w:tc>
        <w:tc>
          <w:tcPr>
            <w:tcW w:type="dxa" w:w="1175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175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Resourcing: configurator-level developer is more available than Studio app developer. Less scheduling risk than Blueprint A.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175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 App Engine SKU dependency: Blueprint B works on any ServiceNow instance with standard licensing. Eliminates the SKU conversation in customer discovery.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MED</w:t>
            </w:r>
          </w:p>
        </w:tc>
        <w:tc>
          <w:tcPr>
            <w:tcW w:type="dxa" w:w="1175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Upgrade risk: extensions to native tables (Task, pm_project, kb_knowledge) carry exposure when ServiceNow releases major platform versions. Mitigate by limiting field naming to u_ecs_ prefix and documenting all extensions in an upgrade guide.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MED</w:t>
            </w:r>
          </w:p>
        </w:tc>
        <w:tc>
          <w:tcPr>
            <w:tcW w:type="dxa" w:w="1175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Commercial packaging: table-extend implementations are harder to package as Store apps. Blueprint B is not a viable ServiceNow Store product without migration to Blueprint A. This is acceptable if Blueprint B is treated as a proof-of-concept rather than the final commercial product.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175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Content loading: all ECS collateral already exists. Phase 3 content work is tagging and importing existing docs — no new authoring required.</w:t>
            </w:r>
          </w:p>
        </w:tc>
      </w:tr>
    </w:tbl>
    <w:p>
      <w:pPr>
        <w:spacing w:after="40"/>
      </w:pPr>
    </w:p>
    <w:p>
      <w:pPr>
        <w:pStyle w:val="Heading1"/>
      </w:pPr>
      <w:r>
        <w:t>6.  Return on Investment</w:t>
      </w:r>
    </w:p>
    <w:p>
      <w:pPr>
        <w:pStyle w:val="Heading2"/>
      </w:pPr>
      <w:r>
        <w:t>Channel 1 — Delivery Efficiency (Immediate)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Same efficiency gain as Blueprint A: 2–4 hours per week per engagement saved. Across 10 active engagements annually, that is 1,040–2,080 hours per year recovered — exceeding the build investment in year one. Blueprint B reaches this return 6–8 weeks earlier than Blueprint A.</w:t>
      </w:r>
    </w:p>
    <w:p>
      <w:pPr>
        <w:pStyle w:val="Heading2"/>
      </w:pPr>
      <w:r>
        <w:t>Channel 2 — Sales Differentiation (Engagements 1+)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Customer-facing delivery portal is the same product for the customer regardless of the underlying architecture. Blueprint B delivers identical sales differentiation for the OOTB proof narrative at lower internal cost.</w:t>
      </w:r>
    </w:p>
    <w:p>
      <w:pPr>
        <w:pStyle w:val="Heading2"/>
      </w:pPr>
      <w:r>
        <w:t>Channel 3 — Staged Investment Path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Blueprint B's 970-hour investment proves the design on real engagements before committing ~1,400 hours to Blueprint A. If the portal design holds up across 2–3 engagements, the migration to Blueprint A (for the Store path) is de-risked. If the design needs significant changes, we discover this before the larger investment is made.</w:t>
      </w:r>
    </w:p>
    <w:p>
      <w:pPr>
        <w:pStyle w:val="Heading1"/>
      </w:pPr>
      <w:r>
        <w:t>7.  Blueprint A vs. Blueprint B at a Glance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Factor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Blueprint A (Custom App)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Blueprint B (This Brief)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Build Duration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16–18 weeks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10–12 weeks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Total Investment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~1,400 hours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~970 hours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Hours Saved vs. Blueprint A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~430 hours (31% less)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Lead Developer Profile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 developer (Studio)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Configurator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 Engine SKU Required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Commercial / Store Path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Clean — Store-ready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Messy — harder to package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Upgrade Risk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Low — scoped, isolated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Medium — native table exposure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First Engagement Deploy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~Oct 2026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~Aug 2026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Right Choice When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Store is the strategic goal; dedicated Studio dev available</w:t>
            </w:r>
          </w:p>
        </w:tc>
        <w:tc>
          <w:tcPr>
            <w:tcW w:type="dxa" w:w="48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Speed to first use; App Engine uncertain; want proof-of-concept first</w:t>
            </w:r>
          </w:p>
        </w:tc>
      </w:tr>
    </w:tbl>
    <w:p>
      <w:pPr>
        <w:spacing w:after="40"/>
      </w:pPr>
    </w:p>
    <w:p>
      <w:pPr>
        <w:pStyle w:val="Heading1"/>
      </w:pPr>
      <w:r>
        <w:t>8.  Recommendation &amp; Decision Required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Recommendation: Approve Blueprint B as the starting architecture. The 430-hour savings and 6–8 week earlier first-engagement deployment make it the right first step. Blueprint B is not the final answer — it is the proof-of-concept that validates the design before committing to Blueprint A. Define a specific trigger for the Blueprint A migration (e.g., after 3 successful engagements, or when Store path is formally committed) so Blueprint B does not become permanent by default.</w:t>
      </w:r>
    </w:p>
    <w:p>
      <w:pPr>
        <w:spacing w:after="160" w:before="0"/>
      </w:pPr>
      <w:r>
        <w:rPr>
          <w:rFonts w:ascii="Calibri" w:hAnsi="Calibri"/>
          <w:b/>
          <w:color w:val="1A1A1A"/>
          <w:sz w:val="22"/>
        </w:rPr>
        <w:t>Decisions required from this briefing: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Decision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Options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267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Needed By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Architecture approach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Blueprint B (start) with defined A migration trigger, or Blueprint A directly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Senior Director + Shawn</w:t>
            </w:r>
          </w:p>
        </w:tc>
        <w:tc>
          <w:tcPr>
            <w:tcW w:type="dxa" w:w="267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End of architecture review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Blueprint A migration trigger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Define: N engagements, Store commitment, or other trigger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Senior Director + Shawn</w:t>
            </w:r>
          </w:p>
        </w:tc>
        <w:tc>
          <w:tcPr>
            <w:tcW w:type="dxa" w:w="267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At same time as arch decision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Lead developer resource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Identify configurator-level developer; confirm availability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Senior Director</w:t>
            </w:r>
          </w:p>
        </w:tc>
        <w:tc>
          <w:tcPr>
            <w:tcW w:type="dxa" w:w="267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 week post-approval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0 kickoff date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Target: week of 01 Jun 2026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Senior Director</w:t>
            </w:r>
          </w:p>
        </w:tc>
        <w:tc>
          <w:tcPr>
            <w:tcW w:type="dxa" w:w="267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This week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Blueprint B Executive Briefing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