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0831C4" w:rsidRPr="00373208" w:rsidRDefault="003360E8" w:rsidP="000831C4">
      <w:pPr>
        <w:pStyle w:val="Heading1"/>
        <w:numPr>
          <w:ilvl w:val="0"/>
          <w:numId w:val="0"/>
        </w:numPr>
      </w:pPr>
      <w:r>
        <w:t>Northeastern Winter Energy Alert</w:t>
      </w:r>
    </w:p>
    <w:p w:rsidR="003360E8" w:rsidRPr="003360E8" w:rsidRDefault="003360E8" w:rsidP="003360E8">
      <w:pPr>
        <w:pStyle w:val="NormalWeb"/>
        <w:rPr>
          <w:rFonts w:asciiTheme="minorHAnsi" w:hAnsiTheme="minorHAnsi"/>
          <w:sz w:val="22"/>
          <w:szCs w:val="22"/>
        </w:rPr>
      </w:pPr>
      <w:r w:rsidRPr="003360E8">
        <w:rPr>
          <w:rStyle w:val="Strong"/>
          <w:rFonts w:asciiTheme="minorHAnsi" w:hAnsiTheme="minorHAnsi"/>
          <w:sz w:val="22"/>
          <w:szCs w:val="22"/>
        </w:rPr>
        <w:t>Sustained cold weather and high natural gas consumption pushing up spot natural gas and electricity prices</w:t>
      </w:r>
    </w:p>
    <w:p w:rsidR="003360E8" w:rsidRPr="003360E8" w:rsidRDefault="003360E8" w:rsidP="003360E8">
      <w:pPr>
        <w:pStyle w:val="NormalWeb"/>
        <w:rPr>
          <w:rFonts w:asciiTheme="minorHAnsi" w:hAnsiTheme="minorHAnsi"/>
          <w:sz w:val="22"/>
          <w:szCs w:val="22"/>
        </w:rPr>
      </w:pPr>
      <w:r w:rsidRPr="003360E8">
        <w:rPr>
          <w:rStyle w:val="Strong"/>
          <w:rFonts w:asciiTheme="minorHAnsi" w:hAnsiTheme="minorHAnsi"/>
          <w:sz w:val="22"/>
          <w:szCs w:val="22"/>
        </w:rPr>
        <w:t xml:space="preserve">Temperature: </w:t>
      </w:r>
      <w:r w:rsidRPr="003360E8">
        <w:rPr>
          <w:rFonts w:asciiTheme="minorHAnsi" w:hAnsiTheme="minorHAnsi"/>
          <w:sz w:val="22"/>
          <w:szCs w:val="22"/>
        </w:rPr>
        <w:t xml:space="preserve">Northeast temperatures remain up to 26 degrees colder than normal, with the coldest day this week expected to be January 6. Temperatures are projected to be to closer to normal levels on January 8. </w:t>
      </w:r>
    </w:p>
    <w:p w:rsidR="003360E8" w:rsidRPr="003360E8" w:rsidRDefault="003360E8" w:rsidP="003360E8">
      <w:pPr>
        <w:pStyle w:val="NormalWeb"/>
        <w:rPr>
          <w:rFonts w:asciiTheme="minorHAnsi" w:hAnsiTheme="minorHAnsi"/>
          <w:sz w:val="22"/>
          <w:szCs w:val="22"/>
        </w:rPr>
      </w:pPr>
      <w:r w:rsidRPr="003360E8">
        <w:rPr>
          <w:rStyle w:val="Strong"/>
          <w:rFonts w:asciiTheme="minorHAnsi" w:hAnsiTheme="minorHAnsi"/>
          <w:sz w:val="22"/>
          <w:szCs w:val="22"/>
        </w:rPr>
        <w:t xml:space="preserve">Natural gas demand: </w:t>
      </w:r>
      <w:r w:rsidRPr="003360E8">
        <w:rPr>
          <w:rFonts w:asciiTheme="minorHAnsi" w:hAnsiTheme="minorHAnsi"/>
          <w:sz w:val="22"/>
          <w:szCs w:val="22"/>
        </w:rPr>
        <w:t>S&amp;P Global estimates regional demand in New England and New York City will be about 9.1 billion cubic feet (Bcf) on January 5, up from 9 Bcf on January 4 as a result of falling temperatures. New York City’s natural gas load could reach 6.3 Bcf on Saturday; loads are typically slightly more than 4 Bcf per day in New York City this time of year, according to S&amp;P Global.</w:t>
      </w:r>
    </w:p>
    <w:p w:rsidR="003360E8" w:rsidRPr="003360E8" w:rsidRDefault="003360E8" w:rsidP="003360E8">
      <w:pPr>
        <w:pStyle w:val="NormalWeb"/>
        <w:rPr>
          <w:rFonts w:asciiTheme="minorHAnsi" w:hAnsiTheme="minorHAnsi"/>
          <w:sz w:val="22"/>
          <w:szCs w:val="22"/>
        </w:rPr>
      </w:pPr>
      <w:r w:rsidRPr="003360E8">
        <w:rPr>
          <w:rStyle w:val="Strong"/>
          <w:rFonts w:asciiTheme="minorHAnsi" w:hAnsiTheme="minorHAnsi"/>
          <w:sz w:val="22"/>
          <w:szCs w:val="22"/>
        </w:rPr>
        <w:t xml:space="preserve">Natural gas constraints and LNG: </w:t>
      </w:r>
      <w:r w:rsidRPr="003360E8">
        <w:rPr>
          <w:rFonts w:asciiTheme="minorHAnsi" w:hAnsiTheme="minorHAnsi"/>
          <w:sz w:val="22"/>
          <w:szCs w:val="22"/>
        </w:rPr>
        <w:t>Major pipelines delivering natural gas into New York and New England are constrained again on January 5, with average pipeline utilization ranging from 90%-100% on key segments. LNG facilities in the Northeastern United States and Eastern Canada are expected to deliver about 2.0 Bcf of LNG on Friday; the Canaport terminal in New Brunswick received a cargo on January 2, and the Everett terminal in Boston may receive a cargo on January 5.</w:t>
      </w:r>
    </w:p>
    <w:p w:rsidR="003360E8" w:rsidRPr="003360E8" w:rsidRDefault="003360E8" w:rsidP="003360E8">
      <w:pPr>
        <w:pStyle w:val="NormalWeb"/>
        <w:rPr>
          <w:rFonts w:asciiTheme="minorHAnsi" w:hAnsiTheme="minorHAnsi"/>
          <w:sz w:val="22"/>
          <w:szCs w:val="22"/>
        </w:rPr>
      </w:pPr>
      <w:r w:rsidRPr="003360E8">
        <w:rPr>
          <w:rStyle w:val="Strong"/>
          <w:rFonts w:asciiTheme="minorHAnsi" w:hAnsiTheme="minorHAnsi"/>
          <w:sz w:val="22"/>
          <w:szCs w:val="22"/>
        </w:rPr>
        <w:t xml:space="preserve">Storage activity: </w:t>
      </w:r>
      <w:r w:rsidRPr="003360E8">
        <w:rPr>
          <w:rFonts w:asciiTheme="minorHAnsi" w:hAnsiTheme="minorHAnsi"/>
          <w:sz w:val="22"/>
          <w:szCs w:val="22"/>
        </w:rPr>
        <w:t xml:space="preserve">Yesterday, EIA reported that the </w:t>
      </w:r>
      <w:hyperlink r:id="rId9" w:anchor="threeregion" w:history="1">
        <w:r w:rsidRPr="003360E8">
          <w:rPr>
            <w:rStyle w:val="Hyperlink"/>
            <w:rFonts w:eastAsiaTheme="majorEastAsia"/>
            <w:sz w:val="22"/>
            <w:szCs w:val="22"/>
          </w:rPr>
          <w:t>East Region</w:t>
        </w:r>
      </w:hyperlink>
      <w:r w:rsidRPr="003360E8">
        <w:rPr>
          <w:rFonts w:asciiTheme="minorHAnsi" w:hAnsiTheme="minorHAnsi"/>
          <w:sz w:val="22"/>
          <w:szCs w:val="22"/>
        </w:rPr>
        <w:t xml:space="preserve"> (including states from Maine to Florida) stocks of working gas were 740 Bcf as of December 29, the same as one year ago at this time and about 5% lower than the five-year average. </w:t>
      </w:r>
    </w:p>
    <w:p w:rsidR="003360E8" w:rsidRPr="003360E8" w:rsidRDefault="003360E8" w:rsidP="003360E8">
      <w:pPr>
        <w:pStyle w:val="NormalWeb"/>
        <w:rPr>
          <w:rFonts w:asciiTheme="minorHAnsi" w:hAnsiTheme="minorHAnsi"/>
          <w:sz w:val="22"/>
          <w:szCs w:val="22"/>
        </w:rPr>
      </w:pPr>
      <w:r w:rsidRPr="003360E8">
        <w:rPr>
          <w:rStyle w:val="Strong"/>
          <w:rFonts w:asciiTheme="minorHAnsi" w:hAnsiTheme="minorHAnsi"/>
          <w:sz w:val="22"/>
          <w:szCs w:val="22"/>
        </w:rPr>
        <w:t xml:space="preserve">Natural gas prices: </w:t>
      </w:r>
      <w:r w:rsidRPr="003360E8">
        <w:rPr>
          <w:rFonts w:asciiTheme="minorHAnsi" w:hAnsiTheme="minorHAnsi"/>
          <w:sz w:val="22"/>
          <w:szCs w:val="22"/>
        </w:rPr>
        <w:t xml:space="preserve">Prices for January 5 settled at about $83/million British thermal units (MMBtu) in Boston and about $140/MMBtu in New York City (NYC), up 128% and 173% from the January 4 prices. </w:t>
      </w:r>
      <w:bookmarkStart w:id="0" w:name="_GoBack"/>
      <w:bookmarkEnd w:id="0"/>
      <w:r w:rsidRPr="003360E8">
        <w:rPr>
          <w:rFonts w:asciiTheme="minorHAnsi" w:hAnsiTheme="minorHAnsi"/>
          <w:sz w:val="22"/>
          <w:szCs w:val="22"/>
        </w:rPr>
        <w:t>The spot natural gas price at the benchmark Henry Hub settled at $4.645/MMBtu on January 5, down 38% from January 4.  </w:t>
      </w:r>
    </w:p>
    <w:p w:rsidR="003360E8" w:rsidRPr="003360E8" w:rsidRDefault="003360E8" w:rsidP="003360E8">
      <w:pPr>
        <w:pStyle w:val="NormalWeb"/>
        <w:rPr>
          <w:rFonts w:asciiTheme="minorHAnsi" w:hAnsiTheme="minorHAnsi"/>
          <w:sz w:val="22"/>
          <w:szCs w:val="22"/>
        </w:rPr>
      </w:pPr>
      <w:r w:rsidRPr="003360E8">
        <w:rPr>
          <w:rStyle w:val="Strong"/>
          <w:rFonts w:asciiTheme="minorHAnsi" w:hAnsiTheme="minorHAnsi"/>
          <w:sz w:val="22"/>
          <w:szCs w:val="22"/>
        </w:rPr>
        <w:t>Electricity prices:</w:t>
      </w:r>
      <w:r w:rsidRPr="003360E8">
        <w:rPr>
          <w:rFonts w:asciiTheme="minorHAnsi" w:hAnsiTheme="minorHAnsi"/>
          <w:sz w:val="22"/>
          <w:szCs w:val="22"/>
        </w:rPr>
        <w:t xml:space="preserve"> On-peak electricity prices formed yesterday for today rose to about $248/megawatthour (MWh) in NYC and $306/MWh in New England. The spark spreads, or gross margins associated with operating a typical 7,000 British thermal units per kilowatthour (Btu/KWh) heat rate natural gas combined-cycle plant, in both markets are negative today, meaning that the delivered market cost of spot natural gas exceeds the spot settlement price for electricity in those markets. </w:t>
      </w:r>
    </w:p>
    <w:p w:rsidR="003360E8" w:rsidRPr="003360E8" w:rsidRDefault="003360E8" w:rsidP="003360E8">
      <w:pPr>
        <w:pStyle w:val="NormalWeb"/>
        <w:rPr>
          <w:rFonts w:asciiTheme="minorHAnsi" w:hAnsiTheme="minorHAnsi"/>
          <w:sz w:val="22"/>
          <w:szCs w:val="22"/>
        </w:rPr>
      </w:pPr>
      <w:r w:rsidRPr="003360E8">
        <w:rPr>
          <w:rStyle w:val="Strong"/>
          <w:rFonts w:asciiTheme="minorHAnsi" w:hAnsiTheme="minorHAnsi"/>
          <w:sz w:val="22"/>
          <w:szCs w:val="22"/>
        </w:rPr>
        <w:t xml:space="preserve">Pipeline notices: </w:t>
      </w:r>
      <w:r w:rsidRPr="003360E8">
        <w:rPr>
          <w:rFonts w:asciiTheme="minorHAnsi" w:hAnsiTheme="minorHAnsi"/>
          <w:sz w:val="22"/>
          <w:szCs w:val="22"/>
        </w:rPr>
        <w:t xml:space="preserve">Many natural gas pipelines have issued operational flow orders and critical notices advising their customers to carefully manage the amount of natural gas transportation capacity they use relative to what they requested or scheduled per contractual rights, or they will be subject to possible penalties. Interruptible transportation service is highly restricted throughout the region.  </w:t>
      </w:r>
    </w:p>
    <w:p w:rsidR="00EB4ED7" w:rsidRDefault="00EB4ED7">
      <w:pPr>
        <w:spacing w:line="240" w:lineRule="auto"/>
        <w:rPr>
          <w:rStyle w:val="Strong"/>
          <w:rFonts w:eastAsia="Times New Roman" w:cs="Times New Roman"/>
        </w:rPr>
      </w:pPr>
      <w:r>
        <w:rPr>
          <w:rStyle w:val="Strong"/>
        </w:rPr>
        <w:br w:type="page"/>
      </w:r>
    </w:p>
    <w:p w:rsidR="000831C4" w:rsidRDefault="003360E8" w:rsidP="003360E8">
      <w:pPr>
        <w:pStyle w:val="NormalWeb"/>
      </w:pPr>
      <w:r w:rsidRPr="003360E8">
        <w:rPr>
          <w:rStyle w:val="Strong"/>
          <w:rFonts w:asciiTheme="minorHAnsi" w:hAnsiTheme="minorHAnsi"/>
          <w:sz w:val="22"/>
          <w:szCs w:val="22"/>
        </w:rPr>
        <w:t xml:space="preserve">Oil market: </w:t>
      </w:r>
      <w:r w:rsidRPr="003360E8">
        <w:rPr>
          <w:rFonts w:asciiTheme="minorHAnsi" w:hAnsiTheme="minorHAnsi"/>
          <w:sz w:val="22"/>
          <w:szCs w:val="22"/>
        </w:rPr>
        <w:t xml:space="preserve">Oil-fired generation accounted for more than 30% of the overall fuel mix in the New England Independent System Operator region as of the morning of January 5.  Distillate stocks in the Northeast (combined Petroleum Administration for Defense Districts 1A and 1B) totaled 38.7 million barrels on December 29, 2017, 1.5 million barrels (4%) above the five-year average but 14.4 million barrels below year-ago levels. </w:t>
      </w:r>
    </w:p>
    <w:tbl>
      <w:tblPr>
        <w:tblStyle w:val="TableGrid"/>
        <w:tblW w:w="0" w:type="auto"/>
        <w:tblLook w:val="04A0" w:firstRow="1" w:lastRow="0" w:firstColumn="1" w:lastColumn="0" w:noHBand="0" w:noVBand="1"/>
      </w:tblPr>
      <w:tblGrid>
        <w:gridCol w:w="2340"/>
        <w:gridCol w:w="2340"/>
        <w:gridCol w:w="2340"/>
        <w:gridCol w:w="2340"/>
      </w:tblGrid>
      <w:tr w:rsidR="003360E8" w:rsidRPr="00EB4ED7" w:rsidTr="003360E8">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340" w:type="dxa"/>
          </w:tcPr>
          <w:p w:rsidR="003360E8" w:rsidRPr="00EB4ED7" w:rsidRDefault="003360E8" w:rsidP="003360E8">
            <w:pPr>
              <w:rPr>
                <w:szCs w:val="18"/>
              </w:rPr>
            </w:pPr>
            <w:r w:rsidRPr="00EB4ED7">
              <w:rPr>
                <w:szCs w:val="18"/>
              </w:rPr>
              <w:t>Average temperature</w:t>
            </w:r>
          </w:p>
        </w:tc>
        <w:tc>
          <w:tcPr>
            <w:tcW w:w="2340" w:type="dxa"/>
          </w:tcPr>
          <w:p w:rsidR="003360E8" w:rsidRPr="00EB4ED7" w:rsidRDefault="003360E8" w:rsidP="003360E8">
            <w:pPr>
              <w:cnfStyle w:val="100000000000" w:firstRow="1" w:lastRow="0" w:firstColumn="0" w:lastColumn="0" w:oddVBand="0" w:evenVBand="0" w:oddHBand="0" w:evenHBand="0" w:firstRowFirstColumn="0" w:firstRowLastColumn="0" w:lastRowFirstColumn="0" w:lastRowLastColumn="0"/>
              <w:rPr>
                <w:szCs w:val="18"/>
              </w:rPr>
            </w:pPr>
            <w:r w:rsidRPr="00EB4ED7">
              <w:rPr>
                <w:szCs w:val="18"/>
              </w:rPr>
              <w:t>Wed 1/3</w:t>
            </w:r>
          </w:p>
        </w:tc>
        <w:tc>
          <w:tcPr>
            <w:tcW w:w="2340" w:type="dxa"/>
          </w:tcPr>
          <w:p w:rsidR="003360E8" w:rsidRPr="00EB4ED7" w:rsidRDefault="003360E8" w:rsidP="003360E8">
            <w:pPr>
              <w:cnfStyle w:val="100000000000" w:firstRow="1" w:lastRow="0" w:firstColumn="0" w:lastColumn="0" w:oddVBand="0" w:evenVBand="0" w:oddHBand="0" w:evenHBand="0" w:firstRowFirstColumn="0" w:firstRowLastColumn="0" w:lastRowFirstColumn="0" w:lastRowLastColumn="0"/>
              <w:rPr>
                <w:szCs w:val="18"/>
              </w:rPr>
            </w:pPr>
            <w:r w:rsidRPr="00EB4ED7">
              <w:rPr>
                <w:szCs w:val="18"/>
              </w:rPr>
              <w:t>Thu 1/4</w:t>
            </w:r>
          </w:p>
        </w:tc>
        <w:tc>
          <w:tcPr>
            <w:tcW w:w="2340" w:type="dxa"/>
          </w:tcPr>
          <w:p w:rsidR="003360E8" w:rsidRPr="00EB4ED7" w:rsidRDefault="003360E8" w:rsidP="003360E8">
            <w:pPr>
              <w:cnfStyle w:val="100000000000" w:firstRow="1" w:lastRow="0" w:firstColumn="0" w:lastColumn="0" w:oddVBand="0" w:evenVBand="0" w:oddHBand="0" w:evenHBand="0" w:firstRowFirstColumn="0" w:firstRowLastColumn="0" w:lastRowFirstColumn="0" w:lastRowLastColumn="0"/>
              <w:rPr>
                <w:szCs w:val="18"/>
              </w:rPr>
            </w:pPr>
            <w:r w:rsidRPr="00EB4ED7">
              <w:rPr>
                <w:szCs w:val="18"/>
              </w:rPr>
              <w:t>Fri 1/5</w:t>
            </w:r>
          </w:p>
        </w:tc>
      </w:tr>
      <w:tr w:rsidR="003360E8" w:rsidRPr="00EB4ED7" w:rsidTr="003360E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40" w:type="dxa"/>
            <w:vAlign w:val="center"/>
          </w:tcPr>
          <w:p w:rsidR="003360E8" w:rsidRPr="00EB4ED7" w:rsidRDefault="003360E8" w:rsidP="003360E8">
            <w:pPr>
              <w:spacing w:line="240" w:lineRule="auto"/>
              <w:rPr>
                <w:szCs w:val="18"/>
              </w:rPr>
            </w:pPr>
            <w:r w:rsidRPr="00EB4ED7">
              <w:rPr>
                <w:szCs w:val="18"/>
              </w:rPr>
              <w:t>Boston</w:t>
            </w:r>
          </w:p>
        </w:tc>
        <w:tc>
          <w:tcPr>
            <w:tcW w:w="2340" w:type="dxa"/>
            <w:vAlign w:val="center"/>
          </w:tcPr>
          <w:p w:rsidR="003360E8" w:rsidRPr="00EB4ED7" w:rsidRDefault="003360E8" w:rsidP="003360E8">
            <w:pPr>
              <w:cnfStyle w:val="000000100000" w:firstRow="0" w:lastRow="0" w:firstColumn="0" w:lastColumn="0" w:oddVBand="0" w:evenVBand="0" w:oddHBand="1" w:evenHBand="0" w:firstRowFirstColumn="0" w:firstRowLastColumn="0" w:lastRowFirstColumn="0" w:lastRowLastColumn="0"/>
              <w:rPr>
                <w:szCs w:val="18"/>
              </w:rPr>
            </w:pPr>
            <w:r w:rsidRPr="00EB4ED7">
              <w:rPr>
                <w:szCs w:val="18"/>
              </w:rPr>
              <w:t>23°F</w:t>
            </w:r>
          </w:p>
        </w:tc>
        <w:tc>
          <w:tcPr>
            <w:tcW w:w="2340" w:type="dxa"/>
            <w:vAlign w:val="center"/>
          </w:tcPr>
          <w:p w:rsidR="003360E8" w:rsidRPr="00EB4ED7" w:rsidRDefault="003360E8" w:rsidP="003360E8">
            <w:pPr>
              <w:cnfStyle w:val="000000100000" w:firstRow="0" w:lastRow="0" w:firstColumn="0" w:lastColumn="0" w:oddVBand="0" w:evenVBand="0" w:oddHBand="1" w:evenHBand="0" w:firstRowFirstColumn="0" w:firstRowLastColumn="0" w:lastRowFirstColumn="0" w:lastRowLastColumn="0"/>
              <w:rPr>
                <w:szCs w:val="18"/>
              </w:rPr>
            </w:pPr>
            <w:r w:rsidRPr="00EB4ED7">
              <w:rPr>
                <w:szCs w:val="18"/>
              </w:rPr>
              <w:t>26°F</w:t>
            </w:r>
          </w:p>
        </w:tc>
        <w:tc>
          <w:tcPr>
            <w:tcW w:w="2340" w:type="dxa"/>
            <w:vAlign w:val="center"/>
          </w:tcPr>
          <w:p w:rsidR="003360E8" w:rsidRPr="00EB4ED7" w:rsidRDefault="003360E8" w:rsidP="003360E8">
            <w:pPr>
              <w:cnfStyle w:val="000000100000" w:firstRow="0" w:lastRow="0" w:firstColumn="0" w:lastColumn="0" w:oddVBand="0" w:evenVBand="0" w:oddHBand="1" w:evenHBand="0" w:firstRowFirstColumn="0" w:firstRowLastColumn="0" w:lastRowFirstColumn="0" w:lastRowLastColumn="0"/>
              <w:rPr>
                <w:b/>
                <w:i/>
                <w:szCs w:val="18"/>
              </w:rPr>
            </w:pPr>
            <w:r w:rsidRPr="00EB4ED7">
              <w:rPr>
                <w:rStyle w:val="Emphasis"/>
                <w:b w:val="0"/>
                <w:i/>
                <w:sz w:val="18"/>
                <w:szCs w:val="18"/>
              </w:rPr>
              <w:t>7°F</w:t>
            </w:r>
          </w:p>
        </w:tc>
      </w:tr>
      <w:tr w:rsidR="003360E8" w:rsidRPr="00EB4ED7" w:rsidTr="003360E8">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40" w:type="dxa"/>
            <w:vAlign w:val="center"/>
          </w:tcPr>
          <w:p w:rsidR="003360E8" w:rsidRPr="00EB4ED7" w:rsidRDefault="003360E8" w:rsidP="003360E8">
            <w:pPr>
              <w:spacing w:line="240" w:lineRule="auto"/>
              <w:rPr>
                <w:szCs w:val="18"/>
              </w:rPr>
            </w:pPr>
            <w:r w:rsidRPr="00EB4ED7">
              <w:rPr>
                <w:szCs w:val="18"/>
              </w:rPr>
              <w:t>New York City</w:t>
            </w:r>
          </w:p>
        </w:tc>
        <w:tc>
          <w:tcPr>
            <w:tcW w:w="2340" w:type="dxa"/>
            <w:vAlign w:val="center"/>
          </w:tcPr>
          <w:p w:rsidR="003360E8" w:rsidRPr="00EB4ED7" w:rsidRDefault="003360E8" w:rsidP="003360E8">
            <w:pPr>
              <w:cnfStyle w:val="000000010000" w:firstRow="0" w:lastRow="0" w:firstColumn="0" w:lastColumn="0" w:oddVBand="0" w:evenVBand="0" w:oddHBand="0" w:evenHBand="1" w:firstRowFirstColumn="0" w:firstRowLastColumn="0" w:lastRowFirstColumn="0" w:lastRowLastColumn="0"/>
              <w:rPr>
                <w:szCs w:val="18"/>
              </w:rPr>
            </w:pPr>
            <w:r w:rsidRPr="00EB4ED7">
              <w:rPr>
                <w:szCs w:val="18"/>
              </w:rPr>
              <w:t>23°F</w:t>
            </w:r>
          </w:p>
        </w:tc>
        <w:tc>
          <w:tcPr>
            <w:tcW w:w="2340" w:type="dxa"/>
            <w:vAlign w:val="center"/>
          </w:tcPr>
          <w:p w:rsidR="003360E8" w:rsidRPr="00EB4ED7" w:rsidRDefault="003360E8" w:rsidP="003360E8">
            <w:pPr>
              <w:cnfStyle w:val="000000010000" w:firstRow="0" w:lastRow="0" w:firstColumn="0" w:lastColumn="0" w:oddVBand="0" w:evenVBand="0" w:oddHBand="0" w:evenHBand="1" w:firstRowFirstColumn="0" w:firstRowLastColumn="0" w:lastRowFirstColumn="0" w:lastRowLastColumn="0"/>
              <w:rPr>
                <w:szCs w:val="18"/>
              </w:rPr>
            </w:pPr>
            <w:r w:rsidRPr="00EB4ED7">
              <w:rPr>
                <w:szCs w:val="18"/>
              </w:rPr>
              <w:t>26°F</w:t>
            </w:r>
          </w:p>
        </w:tc>
        <w:tc>
          <w:tcPr>
            <w:tcW w:w="2340" w:type="dxa"/>
            <w:vAlign w:val="center"/>
          </w:tcPr>
          <w:p w:rsidR="003360E8" w:rsidRPr="00EB4ED7" w:rsidRDefault="003360E8" w:rsidP="003360E8">
            <w:pPr>
              <w:cnfStyle w:val="000000010000" w:firstRow="0" w:lastRow="0" w:firstColumn="0" w:lastColumn="0" w:oddVBand="0" w:evenVBand="0" w:oddHBand="0" w:evenHBand="1" w:firstRowFirstColumn="0" w:firstRowLastColumn="0" w:lastRowFirstColumn="0" w:lastRowLastColumn="0"/>
              <w:rPr>
                <w:b/>
                <w:i/>
                <w:szCs w:val="18"/>
              </w:rPr>
            </w:pPr>
            <w:r w:rsidRPr="00EB4ED7">
              <w:rPr>
                <w:rStyle w:val="Emphasis"/>
                <w:b w:val="0"/>
                <w:i/>
                <w:sz w:val="18"/>
                <w:szCs w:val="18"/>
              </w:rPr>
              <w:t>11°F</w:t>
            </w:r>
          </w:p>
        </w:tc>
      </w:tr>
      <w:tr w:rsidR="00EB4ED7" w:rsidRPr="00EB4ED7" w:rsidTr="009C048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40" w:type="dxa"/>
            <w:vAlign w:val="center"/>
          </w:tcPr>
          <w:p w:rsidR="00EB4ED7" w:rsidRPr="00EB4ED7" w:rsidRDefault="00EB4ED7" w:rsidP="00EB4ED7">
            <w:pPr>
              <w:rPr>
                <w:b/>
                <w:szCs w:val="18"/>
              </w:rPr>
            </w:pPr>
            <w:r w:rsidRPr="00EB4ED7">
              <w:rPr>
                <w:b/>
                <w:szCs w:val="18"/>
              </w:rPr>
              <w:t>Natural gas demand</w:t>
            </w:r>
            <w:r w:rsidRPr="00EB4ED7">
              <w:rPr>
                <w:b/>
                <w:szCs w:val="18"/>
              </w:rPr>
              <w:br/>
            </w:r>
            <w:r w:rsidRPr="00EB4ED7">
              <w:rPr>
                <w:b/>
                <w:i/>
              </w:rPr>
              <w:t>Bcf per day</w:t>
            </w:r>
          </w:p>
        </w:tc>
        <w:tc>
          <w:tcPr>
            <w:tcW w:w="2340" w:type="dxa"/>
          </w:tcPr>
          <w:p w:rsidR="00EB4ED7" w:rsidRPr="00EB4ED7" w:rsidRDefault="00EB4ED7" w:rsidP="00EB4ED7">
            <w:pPr>
              <w:cnfStyle w:val="000000100000" w:firstRow="0" w:lastRow="0" w:firstColumn="0" w:lastColumn="0" w:oddVBand="0" w:evenVBand="0" w:oddHBand="1" w:evenHBand="0" w:firstRowFirstColumn="0" w:firstRowLastColumn="0" w:lastRowFirstColumn="0" w:lastRowLastColumn="0"/>
              <w:rPr>
                <w:b/>
                <w:szCs w:val="18"/>
              </w:rPr>
            </w:pPr>
            <w:r w:rsidRPr="00EB4ED7">
              <w:rPr>
                <w:b/>
                <w:szCs w:val="18"/>
              </w:rPr>
              <w:t>Wed 1/3</w:t>
            </w:r>
          </w:p>
        </w:tc>
        <w:tc>
          <w:tcPr>
            <w:tcW w:w="2340" w:type="dxa"/>
          </w:tcPr>
          <w:p w:rsidR="00EB4ED7" w:rsidRPr="00EB4ED7" w:rsidRDefault="00EB4ED7" w:rsidP="00EB4ED7">
            <w:pPr>
              <w:cnfStyle w:val="000000100000" w:firstRow="0" w:lastRow="0" w:firstColumn="0" w:lastColumn="0" w:oddVBand="0" w:evenVBand="0" w:oddHBand="1" w:evenHBand="0" w:firstRowFirstColumn="0" w:firstRowLastColumn="0" w:lastRowFirstColumn="0" w:lastRowLastColumn="0"/>
              <w:rPr>
                <w:b/>
                <w:szCs w:val="18"/>
              </w:rPr>
            </w:pPr>
            <w:r w:rsidRPr="00EB4ED7">
              <w:rPr>
                <w:b/>
                <w:szCs w:val="18"/>
              </w:rPr>
              <w:t>Thu 1/4</w:t>
            </w:r>
          </w:p>
        </w:tc>
        <w:tc>
          <w:tcPr>
            <w:tcW w:w="2340" w:type="dxa"/>
          </w:tcPr>
          <w:p w:rsidR="00EB4ED7" w:rsidRPr="00EB4ED7" w:rsidRDefault="00EB4ED7" w:rsidP="00EB4ED7">
            <w:pPr>
              <w:cnfStyle w:val="000000100000" w:firstRow="0" w:lastRow="0" w:firstColumn="0" w:lastColumn="0" w:oddVBand="0" w:evenVBand="0" w:oddHBand="1" w:evenHBand="0" w:firstRowFirstColumn="0" w:firstRowLastColumn="0" w:lastRowFirstColumn="0" w:lastRowLastColumn="0"/>
              <w:rPr>
                <w:b/>
                <w:szCs w:val="18"/>
              </w:rPr>
            </w:pPr>
            <w:r w:rsidRPr="00EB4ED7">
              <w:rPr>
                <w:b/>
                <w:szCs w:val="18"/>
              </w:rPr>
              <w:t>Fri 1/5</w:t>
            </w:r>
          </w:p>
        </w:tc>
      </w:tr>
      <w:tr w:rsidR="003360E8" w:rsidRPr="00EB4ED7" w:rsidTr="003360E8">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40" w:type="dxa"/>
            <w:vAlign w:val="center"/>
          </w:tcPr>
          <w:p w:rsidR="003360E8" w:rsidRPr="00EB4ED7" w:rsidRDefault="003360E8" w:rsidP="003360E8">
            <w:pPr>
              <w:spacing w:line="240" w:lineRule="auto"/>
              <w:rPr>
                <w:szCs w:val="18"/>
              </w:rPr>
            </w:pPr>
            <w:r w:rsidRPr="00EB4ED7">
              <w:rPr>
                <w:szCs w:val="18"/>
              </w:rPr>
              <w:t>New England</w:t>
            </w:r>
          </w:p>
        </w:tc>
        <w:tc>
          <w:tcPr>
            <w:tcW w:w="2340" w:type="dxa"/>
            <w:vAlign w:val="center"/>
          </w:tcPr>
          <w:p w:rsidR="003360E8" w:rsidRPr="00EB4ED7" w:rsidRDefault="003360E8" w:rsidP="003360E8">
            <w:pPr>
              <w:cnfStyle w:val="000000010000" w:firstRow="0" w:lastRow="0" w:firstColumn="0" w:lastColumn="0" w:oddVBand="0" w:evenVBand="0" w:oddHBand="0" w:evenHBand="1" w:firstRowFirstColumn="0" w:firstRowLastColumn="0" w:lastRowFirstColumn="0" w:lastRowLastColumn="0"/>
              <w:rPr>
                <w:szCs w:val="18"/>
              </w:rPr>
            </w:pPr>
            <w:r w:rsidRPr="00EB4ED7">
              <w:rPr>
                <w:szCs w:val="18"/>
              </w:rPr>
              <w:t>3.9</w:t>
            </w:r>
          </w:p>
        </w:tc>
        <w:tc>
          <w:tcPr>
            <w:tcW w:w="2340" w:type="dxa"/>
            <w:vAlign w:val="center"/>
          </w:tcPr>
          <w:p w:rsidR="003360E8" w:rsidRPr="00EB4ED7" w:rsidRDefault="003360E8" w:rsidP="003360E8">
            <w:pPr>
              <w:cnfStyle w:val="000000010000" w:firstRow="0" w:lastRow="0" w:firstColumn="0" w:lastColumn="0" w:oddVBand="0" w:evenVBand="0" w:oddHBand="0" w:evenHBand="1" w:firstRowFirstColumn="0" w:firstRowLastColumn="0" w:lastRowFirstColumn="0" w:lastRowLastColumn="0"/>
              <w:rPr>
                <w:szCs w:val="18"/>
              </w:rPr>
            </w:pPr>
            <w:r w:rsidRPr="00EB4ED7">
              <w:rPr>
                <w:szCs w:val="18"/>
              </w:rPr>
              <w:t>3.9</w:t>
            </w:r>
          </w:p>
        </w:tc>
        <w:tc>
          <w:tcPr>
            <w:tcW w:w="2340" w:type="dxa"/>
            <w:vAlign w:val="center"/>
          </w:tcPr>
          <w:p w:rsidR="003360E8" w:rsidRPr="00EB4ED7" w:rsidRDefault="003360E8" w:rsidP="003360E8">
            <w:pPr>
              <w:cnfStyle w:val="000000010000" w:firstRow="0" w:lastRow="0" w:firstColumn="0" w:lastColumn="0" w:oddVBand="0" w:evenVBand="0" w:oddHBand="0" w:evenHBand="1" w:firstRowFirstColumn="0" w:firstRowLastColumn="0" w:lastRowFirstColumn="0" w:lastRowLastColumn="0"/>
              <w:rPr>
                <w:b/>
                <w:i/>
                <w:szCs w:val="18"/>
              </w:rPr>
            </w:pPr>
            <w:r w:rsidRPr="00EB4ED7">
              <w:rPr>
                <w:rStyle w:val="Emphasis"/>
                <w:b w:val="0"/>
                <w:i/>
                <w:sz w:val="18"/>
                <w:szCs w:val="18"/>
              </w:rPr>
              <w:t>3.8</w:t>
            </w:r>
          </w:p>
        </w:tc>
      </w:tr>
      <w:tr w:rsidR="003360E8" w:rsidRPr="00EB4ED7" w:rsidTr="003360E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40" w:type="dxa"/>
            <w:vAlign w:val="center"/>
          </w:tcPr>
          <w:p w:rsidR="003360E8" w:rsidRPr="00EB4ED7" w:rsidRDefault="003360E8" w:rsidP="003360E8">
            <w:pPr>
              <w:rPr>
                <w:szCs w:val="18"/>
              </w:rPr>
            </w:pPr>
            <w:r w:rsidRPr="00EB4ED7">
              <w:rPr>
                <w:szCs w:val="18"/>
              </w:rPr>
              <w:t>New York City</w:t>
            </w:r>
          </w:p>
        </w:tc>
        <w:tc>
          <w:tcPr>
            <w:tcW w:w="2340" w:type="dxa"/>
            <w:vAlign w:val="center"/>
          </w:tcPr>
          <w:p w:rsidR="003360E8" w:rsidRPr="00EB4ED7" w:rsidRDefault="003360E8" w:rsidP="003360E8">
            <w:pPr>
              <w:cnfStyle w:val="000000100000" w:firstRow="0" w:lastRow="0" w:firstColumn="0" w:lastColumn="0" w:oddVBand="0" w:evenVBand="0" w:oddHBand="1" w:evenHBand="0" w:firstRowFirstColumn="0" w:firstRowLastColumn="0" w:lastRowFirstColumn="0" w:lastRowLastColumn="0"/>
              <w:rPr>
                <w:szCs w:val="18"/>
              </w:rPr>
            </w:pPr>
            <w:r w:rsidRPr="00EB4ED7">
              <w:rPr>
                <w:szCs w:val="18"/>
              </w:rPr>
              <w:t>4.8</w:t>
            </w:r>
          </w:p>
        </w:tc>
        <w:tc>
          <w:tcPr>
            <w:tcW w:w="2340" w:type="dxa"/>
            <w:vAlign w:val="center"/>
          </w:tcPr>
          <w:p w:rsidR="003360E8" w:rsidRPr="00EB4ED7" w:rsidRDefault="003360E8" w:rsidP="003360E8">
            <w:pPr>
              <w:cnfStyle w:val="000000100000" w:firstRow="0" w:lastRow="0" w:firstColumn="0" w:lastColumn="0" w:oddVBand="0" w:evenVBand="0" w:oddHBand="1" w:evenHBand="0" w:firstRowFirstColumn="0" w:firstRowLastColumn="0" w:lastRowFirstColumn="0" w:lastRowLastColumn="0"/>
              <w:rPr>
                <w:szCs w:val="18"/>
              </w:rPr>
            </w:pPr>
            <w:r w:rsidRPr="00EB4ED7">
              <w:rPr>
                <w:szCs w:val="18"/>
              </w:rPr>
              <w:t>5.1</w:t>
            </w:r>
          </w:p>
        </w:tc>
        <w:tc>
          <w:tcPr>
            <w:tcW w:w="2340" w:type="dxa"/>
            <w:vAlign w:val="center"/>
          </w:tcPr>
          <w:p w:rsidR="003360E8" w:rsidRPr="00EB4ED7" w:rsidRDefault="003360E8" w:rsidP="003360E8">
            <w:pPr>
              <w:cnfStyle w:val="000000100000" w:firstRow="0" w:lastRow="0" w:firstColumn="0" w:lastColumn="0" w:oddVBand="0" w:evenVBand="0" w:oddHBand="1" w:evenHBand="0" w:firstRowFirstColumn="0" w:firstRowLastColumn="0" w:lastRowFirstColumn="0" w:lastRowLastColumn="0"/>
              <w:rPr>
                <w:b/>
                <w:i/>
                <w:szCs w:val="18"/>
              </w:rPr>
            </w:pPr>
            <w:r w:rsidRPr="00EB4ED7">
              <w:rPr>
                <w:rStyle w:val="Emphasis"/>
                <w:b w:val="0"/>
                <w:i/>
                <w:sz w:val="18"/>
                <w:szCs w:val="18"/>
              </w:rPr>
              <w:t>5.3</w:t>
            </w:r>
          </w:p>
        </w:tc>
      </w:tr>
      <w:tr w:rsidR="00EB4ED7" w:rsidRPr="00EB4ED7" w:rsidTr="00065ED5">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40" w:type="dxa"/>
            <w:vAlign w:val="center"/>
          </w:tcPr>
          <w:p w:rsidR="00EB4ED7" w:rsidRPr="00EB4ED7" w:rsidRDefault="00EB4ED7" w:rsidP="00EB4ED7">
            <w:pPr>
              <w:rPr>
                <w:b/>
                <w:szCs w:val="18"/>
              </w:rPr>
            </w:pPr>
            <w:r w:rsidRPr="00EB4ED7">
              <w:rPr>
                <w:b/>
                <w:szCs w:val="18"/>
              </w:rPr>
              <w:t>Spot natural gas price*</w:t>
            </w:r>
            <w:r w:rsidRPr="00EB4ED7">
              <w:rPr>
                <w:b/>
                <w:szCs w:val="18"/>
              </w:rPr>
              <w:br/>
            </w:r>
            <w:r w:rsidRPr="00EB4ED7">
              <w:rPr>
                <w:rStyle w:val="Emphasis"/>
                <w:i/>
                <w:sz w:val="18"/>
                <w:szCs w:val="18"/>
              </w:rPr>
              <w:t>per MMBtu</w:t>
            </w:r>
          </w:p>
        </w:tc>
        <w:tc>
          <w:tcPr>
            <w:tcW w:w="2340" w:type="dxa"/>
          </w:tcPr>
          <w:p w:rsidR="00EB4ED7" w:rsidRPr="00EB4ED7" w:rsidRDefault="00EB4ED7" w:rsidP="00EB4ED7">
            <w:pPr>
              <w:cnfStyle w:val="000000010000" w:firstRow="0" w:lastRow="0" w:firstColumn="0" w:lastColumn="0" w:oddVBand="0" w:evenVBand="0" w:oddHBand="0" w:evenHBand="1" w:firstRowFirstColumn="0" w:firstRowLastColumn="0" w:lastRowFirstColumn="0" w:lastRowLastColumn="0"/>
              <w:rPr>
                <w:b/>
                <w:szCs w:val="18"/>
              </w:rPr>
            </w:pPr>
            <w:r w:rsidRPr="00EB4ED7">
              <w:rPr>
                <w:b/>
                <w:szCs w:val="18"/>
              </w:rPr>
              <w:t>Wed 1/3</w:t>
            </w:r>
          </w:p>
        </w:tc>
        <w:tc>
          <w:tcPr>
            <w:tcW w:w="2340" w:type="dxa"/>
          </w:tcPr>
          <w:p w:rsidR="00EB4ED7" w:rsidRPr="00EB4ED7" w:rsidRDefault="00EB4ED7" w:rsidP="00EB4ED7">
            <w:pPr>
              <w:cnfStyle w:val="000000010000" w:firstRow="0" w:lastRow="0" w:firstColumn="0" w:lastColumn="0" w:oddVBand="0" w:evenVBand="0" w:oddHBand="0" w:evenHBand="1" w:firstRowFirstColumn="0" w:firstRowLastColumn="0" w:lastRowFirstColumn="0" w:lastRowLastColumn="0"/>
              <w:rPr>
                <w:b/>
                <w:szCs w:val="18"/>
              </w:rPr>
            </w:pPr>
            <w:r w:rsidRPr="00EB4ED7">
              <w:rPr>
                <w:b/>
                <w:szCs w:val="18"/>
              </w:rPr>
              <w:t>Thu 1/4</w:t>
            </w:r>
          </w:p>
        </w:tc>
        <w:tc>
          <w:tcPr>
            <w:tcW w:w="2340" w:type="dxa"/>
          </w:tcPr>
          <w:p w:rsidR="00EB4ED7" w:rsidRPr="00EB4ED7" w:rsidRDefault="00EB4ED7" w:rsidP="00EB4ED7">
            <w:pPr>
              <w:cnfStyle w:val="000000010000" w:firstRow="0" w:lastRow="0" w:firstColumn="0" w:lastColumn="0" w:oddVBand="0" w:evenVBand="0" w:oddHBand="0" w:evenHBand="1" w:firstRowFirstColumn="0" w:firstRowLastColumn="0" w:lastRowFirstColumn="0" w:lastRowLastColumn="0"/>
              <w:rPr>
                <w:b/>
                <w:szCs w:val="18"/>
              </w:rPr>
            </w:pPr>
            <w:r w:rsidRPr="00EB4ED7">
              <w:rPr>
                <w:b/>
                <w:szCs w:val="18"/>
              </w:rPr>
              <w:t>Fri 1/5</w:t>
            </w:r>
          </w:p>
        </w:tc>
      </w:tr>
      <w:tr w:rsidR="003360E8" w:rsidRPr="00EB4ED7" w:rsidTr="003360E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40" w:type="dxa"/>
            <w:vAlign w:val="center"/>
          </w:tcPr>
          <w:p w:rsidR="003360E8" w:rsidRPr="00EB4ED7" w:rsidRDefault="003360E8" w:rsidP="003360E8">
            <w:pPr>
              <w:spacing w:line="240" w:lineRule="auto"/>
              <w:rPr>
                <w:szCs w:val="18"/>
              </w:rPr>
            </w:pPr>
            <w:r w:rsidRPr="00EB4ED7">
              <w:rPr>
                <w:szCs w:val="18"/>
              </w:rPr>
              <w:t>New England</w:t>
            </w:r>
          </w:p>
        </w:tc>
        <w:tc>
          <w:tcPr>
            <w:tcW w:w="2340" w:type="dxa"/>
            <w:vAlign w:val="center"/>
          </w:tcPr>
          <w:p w:rsidR="003360E8" w:rsidRPr="00EB4ED7" w:rsidRDefault="003360E8" w:rsidP="003360E8">
            <w:pPr>
              <w:cnfStyle w:val="000000100000" w:firstRow="0" w:lastRow="0" w:firstColumn="0" w:lastColumn="0" w:oddVBand="0" w:evenVBand="0" w:oddHBand="1" w:evenHBand="0" w:firstRowFirstColumn="0" w:firstRowLastColumn="0" w:lastRowFirstColumn="0" w:lastRowLastColumn="0"/>
              <w:rPr>
                <w:szCs w:val="18"/>
              </w:rPr>
            </w:pPr>
            <w:r w:rsidRPr="00EB4ED7">
              <w:rPr>
                <w:szCs w:val="18"/>
              </w:rPr>
              <w:t xml:space="preserve">$21.50 </w:t>
            </w:r>
          </w:p>
        </w:tc>
        <w:tc>
          <w:tcPr>
            <w:tcW w:w="2340" w:type="dxa"/>
            <w:vAlign w:val="center"/>
          </w:tcPr>
          <w:p w:rsidR="003360E8" w:rsidRPr="00EB4ED7" w:rsidRDefault="003360E8" w:rsidP="003360E8">
            <w:pPr>
              <w:cnfStyle w:val="000000100000" w:firstRow="0" w:lastRow="0" w:firstColumn="0" w:lastColumn="0" w:oddVBand="0" w:evenVBand="0" w:oddHBand="1" w:evenHBand="0" w:firstRowFirstColumn="0" w:firstRowLastColumn="0" w:lastRowFirstColumn="0" w:lastRowLastColumn="0"/>
              <w:rPr>
                <w:szCs w:val="18"/>
              </w:rPr>
            </w:pPr>
            <w:r w:rsidRPr="00EB4ED7">
              <w:rPr>
                <w:szCs w:val="18"/>
              </w:rPr>
              <w:t>$36.32</w:t>
            </w:r>
          </w:p>
        </w:tc>
        <w:tc>
          <w:tcPr>
            <w:tcW w:w="2340" w:type="dxa"/>
            <w:vAlign w:val="center"/>
          </w:tcPr>
          <w:p w:rsidR="003360E8" w:rsidRPr="00EB4ED7" w:rsidRDefault="003360E8" w:rsidP="003360E8">
            <w:pPr>
              <w:cnfStyle w:val="000000100000" w:firstRow="0" w:lastRow="0" w:firstColumn="0" w:lastColumn="0" w:oddVBand="0" w:evenVBand="0" w:oddHBand="1" w:evenHBand="0" w:firstRowFirstColumn="0" w:firstRowLastColumn="0" w:lastRowFirstColumn="0" w:lastRowLastColumn="0"/>
              <w:rPr>
                <w:szCs w:val="18"/>
              </w:rPr>
            </w:pPr>
            <w:r w:rsidRPr="00EB4ED7">
              <w:rPr>
                <w:szCs w:val="18"/>
              </w:rPr>
              <w:t>$82.75</w:t>
            </w:r>
          </w:p>
        </w:tc>
      </w:tr>
      <w:tr w:rsidR="003360E8" w:rsidRPr="00EB4ED7" w:rsidTr="003360E8">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40" w:type="dxa"/>
            <w:vAlign w:val="center"/>
          </w:tcPr>
          <w:p w:rsidR="003360E8" w:rsidRPr="00EB4ED7" w:rsidRDefault="003360E8" w:rsidP="003360E8">
            <w:pPr>
              <w:rPr>
                <w:szCs w:val="18"/>
              </w:rPr>
            </w:pPr>
            <w:r w:rsidRPr="00EB4ED7">
              <w:rPr>
                <w:szCs w:val="18"/>
              </w:rPr>
              <w:t>New York City</w:t>
            </w:r>
          </w:p>
        </w:tc>
        <w:tc>
          <w:tcPr>
            <w:tcW w:w="2340" w:type="dxa"/>
            <w:vAlign w:val="center"/>
          </w:tcPr>
          <w:p w:rsidR="003360E8" w:rsidRPr="00EB4ED7" w:rsidRDefault="003360E8" w:rsidP="003360E8">
            <w:pPr>
              <w:cnfStyle w:val="000000010000" w:firstRow="0" w:lastRow="0" w:firstColumn="0" w:lastColumn="0" w:oddVBand="0" w:evenVBand="0" w:oddHBand="0" w:evenHBand="1" w:firstRowFirstColumn="0" w:firstRowLastColumn="0" w:lastRowFirstColumn="0" w:lastRowLastColumn="0"/>
              <w:rPr>
                <w:szCs w:val="18"/>
              </w:rPr>
            </w:pPr>
            <w:r w:rsidRPr="00EB4ED7">
              <w:rPr>
                <w:szCs w:val="18"/>
              </w:rPr>
              <w:t>$17.71</w:t>
            </w:r>
          </w:p>
        </w:tc>
        <w:tc>
          <w:tcPr>
            <w:tcW w:w="2340" w:type="dxa"/>
            <w:vAlign w:val="center"/>
          </w:tcPr>
          <w:p w:rsidR="003360E8" w:rsidRPr="00EB4ED7" w:rsidRDefault="003360E8" w:rsidP="003360E8">
            <w:pPr>
              <w:cnfStyle w:val="000000010000" w:firstRow="0" w:lastRow="0" w:firstColumn="0" w:lastColumn="0" w:oddVBand="0" w:evenVBand="0" w:oddHBand="0" w:evenHBand="1" w:firstRowFirstColumn="0" w:firstRowLastColumn="0" w:lastRowFirstColumn="0" w:lastRowLastColumn="0"/>
              <w:rPr>
                <w:szCs w:val="18"/>
              </w:rPr>
            </w:pPr>
            <w:r w:rsidRPr="00EB4ED7">
              <w:rPr>
                <w:szCs w:val="18"/>
              </w:rPr>
              <w:t>$51.42</w:t>
            </w:r>
          </w:p>
        </w:tc>
        <w:tc>
          <w:tcPr>
            <w:tcW w:w="2340" w:type="dxa"/>
            <w:vAlign w:val="center"/>
          </w:tcPr>
          <w:p w:rsidR="003360E8" w:rsidRPr="00EB4ED7" w:rsidRDefault="003360E8" w:rsidP="003360E8">
            <w:pPr>
              <w:cnfStyle w:val="000000010000" w:firstRow="0" w:lastRow="0" w:firstColumn="0" w:lastColumn="0" w:oddVBand="0" w:evenVBand="0" w:oddHBand="0" w:evenHBand="1" w:firstRowFirstColumn="0" w:firstRowLastColumn="0" w:lastRowFirstColumn="0" w:lastRowLastColumn="0"/>
              <w:rPr>
                <w:szCs w:val="18"/>
              </w:rPr>
            </w:pPr>
            <w:r w:rsidRPr="00EB4ED7">
              <w:rPr>
                <w:szCs w:val="18"/>
              </w:rPr>
              <w:t>$140.25</w:t>
            </w:r>
          </w:p>
        </w:tc>
      </w:tr>
      <w:tr w:rsidR="00EB4ED7" w:rsidRPr="00EB4ED7" w:rsidTr="008E122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40" w:type="dxa"/>
            <w:vAlign w:val="center"/>
          </w:tcPr>
          <w:p w:rsidR="00EB4ED7" w:rsidRPr="00EB4ED7" w:rsidRDefault="00EB4ED7" w:rsidP="00EB4ED7">
            <w:pPr>
              <w:rPr>
                <w:szCs w:val="18"/>
              </w:rPr>
            </w:pPr>
            <w:r w:rsidRPr="00EB4ED7">
              <w:rPr>
                <w:szCs w:val="18"/>
              </w:rPr>
              <w:t>On-peak electricity price*</w:t>
            </w:r>
            <w:r w:rsidRPr="00EB4ED7">
              <w:rPr>
                <w:szCs w:val="18"/>
              </w:rPr>
              <w:br/>
            </w:r>
            <w:r w:rsidRPr="00EB4ED7">
              <w:rPr>
                <w:rStyle w:val="Emphasis"/>
                <w:sz w:val="18"/>
                <w:szCs w:val="18"/>
              </w:rPr>
              <w:t>per MWh</w:t>
            </w:r>
          </w:p>
        </w:tc>
        <w:tc>
          <w:tcPr>
            <w:tcW w:w="2340" w:type="dxa"/>
          </w:tcPr>
          <w:p w:rsidR="00EB4ED7" w:rsidRPr="00EB4ED7" w:rsidRDefault="00EB4ED7" w:rsidP="00EB4ED7">
            <w:pPr>
              <w:cnfStyle w:val="000000100000" w:firstRow="0" w:lastRow="0" w:firstColumn="0" w:lastColumn="0" w:oddVBand="0" w:evenVBand="0" w:oddHBand="1" w:evenHBand="0" w:firstRowFirstColumn="0" w:firstRowLastColumn="0" w:lastRowFirstColumn="0" w:lastRowLastColumn="0"/>
              <w:rPr>
                <w:b/>
                <w:szCs w:val="18"/>
              </w:rPr>
            </w:pPr>
            <w:r w:rsidRPr="00EB4ED7">
              <w:rPr>
                <w:b/>
                <w:szCs w:val="18"/>
              </w:rPr>
              <w:t>Wed 1/3</w:t>
            </w:r>
          </w:p>
        </w:tc>
        <w:tc>
          <w:tcPr>
            <w:tcW w:w="2340" w:type="dxa"/>
          </w:tcPr>
          <w:p w:rsidR="00EB4ED7" w:rsidRPr="00EB4ED7" w:rsidRDefault="00EB4ED7" w:rsidP="00EB4ED7">
            <w:pPr>
              <w:cnfStyle w:val="000000100000" w:firstRow="0" w:lastRow="0" w:firstColumn="0" w:lastColumn="0" w:oddVBand="0" w:evenVBand="0" w:oddHBand="1" w:evenHBand="0" w:firstRowFirstColumn="0" w:firstRowLastColumn="0" w:lastRowFirstColumn="0" w:lastRowLastColumn="0"/>
              <w:rPr>
                <w:b/>
                <w:szCs w:val="18"/>
              </w:rPr>
            </w:pPr>
            <w:r w:rsidRPr="00EB4ED7">
              <w:rPr>
                <w:b/>
                <w:szCs w:val="18"/>
              </w:rPr>
              <w:t>Thu 1/4</w:t>
            </w:r>
          </w:p>
        </w:tc>
        <w:tc>
          <w:tcPr>
            <w:tcW w:w="2340" w:type="dxa"/>
          </w:tcPr>
          <w:p w:rsidR="00EB4ED7" w:rsidRPr="00EB4ED7" w:rsidRDefault="00EB4ED7" w:rsidP="00EB4ED7">
            <w:pPr>
              <w:cnfStyle w:val="000000100000" w:firstRow="0" w:lastRow="0" w:firstColumn="0" w:lastColumn="0" w:oddVBand="0" w:evenVBand="0" w:oddHBand="1" w:evenHBand="0" w:firstRowFirstColumn="0" w:firstRowLastColumn="0" w:lastRowFirstColumn="0" w:lastRowLastColumn="0"/>
              <w:rPr>
                <w:b/>
                <w:szCs w:val="18"/>
              </w:rPr>
            </w:pPr>
            <w:r w:rsidRPr="00EB4ED7">
              <w:rPr>
                <w:b/>
                <w:szCs w:val="18"/>
              </w:rPr>
              <w:t>Fri 1/5</w:t>
            </w:r>
          </w:p>
        </w:tc>
      </w:tr>
      <w:tr w:rsidR="003360E8" w:rsidRPr="00EB4ED7" w:rsidTr="003360E8">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40" w:type="dxa"/>
            <w:vAlign w:val="center"/>
          </w:tcPr>
          <w:p w:rsidR="003360E8" w:rsidRPr="00EB4ED7" w:rsidRDefault="003360E8" w:rsidP="003360E8">
            <w:pPr>
              <w:spacing w:line="240" w:lineRule="auto"/>
              <w:rPr>
                <w:szCs w:val="18"/>
              </w:rPr>
            </w:pPr>
            <w:r w:rsidRPr="00EB4ED7">
              <w:rPr>
                <w:szCs w:val="18"/>
              </w:rPr>
              <w:t>New England</w:t>
            </w:r>
          </w:p>
        </w:tc>
        <w:tc>
          <w:tcPr>
            <w:tcW w:w="2340" w:type="dxa"/>
            <w:vAlign w:val="center"/>
          </w:tcPr>
          <w:p w:rsidR="003360E8" w:rsidRPr="00EB4ED7" w:rsidRDefault="003360E8" w:rsidP="003360E8">
            <w:pPr>
              <w:cnfStyle w:val="000000010000" w:firstRow="0" w:lastRow="0" w:firstColumn="0" w:lastColumn="0" w:oddVBand="0" w:evenVBand="0" w:oddHBand="0" w:evenHBand="1" w:firstRowFirstColumn="0" w:firstRowLastColumn="0" w:lastRowFirstColumn="0" w:lastRowLastColumn="0"/>
              <w:rPr>
                <w:szCs w:val="18"/>
              </w:rPr>
            </w:pPr>
            <w:r w:rsidRPr="00EB4ED7">
              <w:rPr>
                <w:szCs w:val="18"/>
              </w:rPr>
              <w:t>$170.00</w:t>
            </w:r>
          </w:p>
        </w:tc>
        <w:tc>
          <w:tcPr>
            <w:tcW w:w="2340" w:type="dxa"/>
            <w:vAlign w:val="center"/>
          </w:tcPr>
          <w:p w:rsidR="003360E8" w:rsidRPr="00EB4ED7" w:rsidRDefault="003360E8" w:rsidP="003360E8">
            <w:pPr>
              <w:cnfStyle w:val="000000010000" w:firstRow="0" w:lastRow="0" w:firstColumn="0" w:lastColumn="0" w:oddVBand="0" w:evenVBand="0" w:oddHBand="0" w:evenHBand="1" w:firstRowFirstColumn="0" w:firstRowLastColumn="0" w:lastRowFirstColumn="0" w:lastRowLastColumn="0"/>
              <w:rPr>
                <w:szCs w:val="18"/>
              </w:rPr>
            </w:pPr>
            <w:r w:rsidRPr="00EB4ED7">
              <w:rPr>
                <w:szCs w:val="18"/>
              </w:rPr>
              <w:t>$198.50</w:t>
            </w:r>
          </w:p>
        </w:tc>
        <w:tc>
          <w:tcPr>
            <w:tcW w:w="2340" w:type="dxa"/>
            <w:vAlign w:val="center"/>
          </w:tcPr>
          <w:p w:rsidR="003360E8" w:rsidRPr="00EB4ED7" w:rsidRDefault="003360E8" w:rsidP="003360E8">
            <w:pPr>
              <w:cnfStyle w:val="000000010000" w:firstRow="0" w:lastRow="0" w:firstColumn="0" w:lastColumn="0" w:oddVBand="0" w:evenVBand="0" w:oddHBand="0" w:evenHBand="1" w:firstRowFirstColumn="0" w:firstRowLastColumn="0" w:lastRowFirstColumn="0" w:lastRowLastColumn="0"/>
              <w:rPr>
                <w:szCs w:val="18"/>
              </w:rPr>
            </w:pPr>
            <w:r w:rsidRPr="00EB4ED7">
              <w:rPr>
                <w:szCs w:val="18"/>
              </w:rPr>
              <w:t>$305.50</w:t>
            </w:r>
          </w:p>
        </w:tc>
      </w:tr>
      <w:tr w:rsidR="003360E8" w:rsidRPr="00EB4ED7" w:rsidTr="003360E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40" w:type="dxa"/>
            <w:vAlign w:val="center"/>
          </w:tcPr>
          <w:p w:rsidR="003360E8" w:rsidRPr="00EB4ED7" w:rsidRDefault="003360E8" w:rsidP="003360E8">
            <w:pPr>
              <w:rPr>
                <w:szCs w:val="18"/>
              </w:rPr>
            </w:pPr>
            <w:r w:rsidRPr="00EB4ED7">
              <w:rPr>
                <w:szCs w:val="18"/>
              </w:rPr>
              <w:t>New York City</w:t>
            </w:r>
          </w:p>
        </w:tc>
        <w:tc>
          <w:tcPr>
            <w:tcW w:w="2340" w:type="dxa"/>
            <w:vAlign w:val="center"/>
          </w:tcPr>
          <w:p w:rsidR="003360E8" w:rsidRPr="00EB4ED7" w:rsidRDefault="003360E8" w:rsidP="003360E8">
            <w:pPr>
              <w:cnfStyle w:val="000000100000" w:firstRow="0" w:lastRow="0" w:firstColumn="0" w:lastColumn="0" w:oddVBand="0" w:evenVBand="0" w:oddHBand="1" w:evenHBand="0" w:firstRowFirstColumn="0" w:firstRowLastColumn="0" w:lastRowFirstColumn="0" w:lastRowLastColumn="0"/>
              <w:rPr>
                <w:szCs w:val="18"/>
              </w:rPr>
            </w:pPr>
            <w:r w:rsidRPr="00EB4ED7">
              <w:rPr>
                <w:szCs w:val="18"/>
              </w:rPr>
              <w:t>$178.75</w:t>
            </w:r>
          </w:p>
        </w:tc>
        <w:tc>
          <w:tcPr>
            <w:tcW w:w="2340" w:type="dxa"/>
            <w:vAlign w:val="center"/>
          </w:tcPr>
          <w:p w:rsidR="003360E8" w:rsidRPr="00EB4ED7" w:rsidRDefault="003360E8" w:rsidP="003360E8">
            <w:pPr>
              <w:cnfStyle w:val="000000100000" w:firstRow="0" w:lastRow="0" w:firstColumn="0" w:lastColumn="0" w:oddVBand="0" w:evenVBand="0" w:oddHBand="1" w:evenHBand="0" w:firstRowFirstColumn="0" w:firstRowLastColumn="0" w:lastRowFirstColumn="0" w:lastRowLastColumn="0"/>
              <w:rPr>
                <w:szCs w:val="18"/>
              </w:rPr>
            </w:pPr>
            <w:r w:rsidRPr="00EB4ED7">
              <w:rPr>
                <w:szCs w:val="18"/>
              </w:rPr>
              <w:t>$185.50</w:t>
            </w:r>
          </w:p>
        </w:tc>
        <w:tc>
          <w:tcPr>
            <w:tcW w:w="2340" w:type="dxa"/>
            <w:vAlign w:val="center"/>
          </w:tcPr>
          <w:p w:rsidR="003360E8" w:rsidRPr="00EB4ED7" w:rsidRDefault="003360E8" w:rsidP="003360E8">
            <w:pPr>
              <w:cnfStyle w:val="000000100000" w:firstRow="0" w:lastRow="0" w:firstColumn="0" w:lastColumn="0" w:oddVBand="0" w:evenVBand="0" w:oddHBand="1" w:evenHBand="0" w:firstRowFirstColumn="0" w:firstRowLastColumn="0" w:lastRowFirstColumn="0" w:lastRowLastColumn="0"/>
              <w:rPr>
                <w:szCs w:val="18"/>
              </w:rPr>
            </w:pPr>
            <w:r w:rsidRPr="00EB4ED7">
              <w:rPr>
                <w:szCs w:val="18"/>
              </w:rPr>
              <w:t>$247.75</w:t>
            </w:r>
          </w:p>
        </w:tc>
      </w:tr>
    </w:tbl>
    <w:p w:rsidR="000F040A" w:rsidRDefault="00EB4ED7" w:rsidP="00EB4ED7">
      <w:pPr>
        <w:pStyle w:val="Tablefootnotetext"/>
      </w:pPr>
      <w:r w:rsidRPr="00EB4ED7">
        <w:t>*Day-ahead market values set during trading from prior day</w:t>
      </w:r>
      <w:r w:rsidRPr="00EB4ED7">
        <w:br/>
        <w:t>Forecasts shown in italics</w:t>
      </w:r>
      <w:r w:rsidRPr="00EB4ED7">
        <w:br/>
        <w:t>Sources: NOAA, Bentek Energy, SNL Energy</w:t>
      </w:r>
    </w:p>
    <w:sectPr w:rsidR="000F040A" w:rsidSect="008F4CBD">
      <w:headerReference w:type="even" r:id="rId10"/>
      <w:headerReference w:type="default" r:id="rId11"/>
      <w:footerReference w:type="even" r:id="rId12"/>
      <w:footerReference w:type="default" r:id="rId13"/>
      <w:headerReference w:type="first" r:id="rId14"/>
      <w:footerReference w:type="first" r:id="rId15"/>
      <w:pgSz w:w="12240" w:h="15840"/>
      <w:pgMar w:top="1440" w:right="1440" w:bottom="1440" w:left="1440" w:header="720"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3360E8" w:rsidRDefault="003360E8" w:rsidP="00536CE1">
      <w:pPr>
        <w:spacing w:after="0" w:line="240" w:lineRule="auto"/>
      </w:pPr>
      <w:r>
        <w:separator/>
      </w:r>
    </w:p>
  </w:endnote>
  <w:endnote w:type="continuationSeparator" w:id="0">
    <w:p w:rsidR="003360E8" w:rsidRDefault="003360E8" w:rsidP="00536CE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705557895"/>
      <w:docPartObj>
        <w:docPartGallery w:val="Page Numbers (Bottom of Page)"/>
        <w:docPartUnique/>
      </w:docPartObj>
    </w:sdtPr>
    <w:sdtContent>
      <w:p w:rsidR="003360E8" w:rsidRDefault="003360E8" w:rsidP="00760677">
        <w:pPr>
          <w:pStyle w:val="Footer"/>
        </w:pPr>
        <w:r>
          <w:fldChar w:fldCharType="begin"/>
        </w:r>
        <w:r>
          <w:instrText xml:space="preserve"> PAGE   \* MERGEFORMAT </w:instrText>
        </w:r>
        <w:r>
          <w:fldChar w:fldCharType="separate"/>
        </w:r>
        <w:r>
          <w:rPr>
            <w:noProof/>
          </w:rPr>
          <w:t>14</w:t>
        </w:r>
        <w:r>
          <w:rPr>
            <w:noProof/>
          </w:rPr>
          <w:fldChar w:fldCharType="end"/>
        </w:r>
        <w:r>
          <w:tab/>
          <w:t xml:space="preserve">                                                                                             </w:t>
        </w:r>
        <w:r w:rsidRPr="00CB180D">
          <w:t>U.S. Energy Information Administration   |   Improving the Quality and Scope of EIA Data</w:t>
        </w:r>
      </w:p>
    </w:sdtContent>
  </w:sdt>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943332437"/>
      <w:docPartObj>
        <w:docPartGallery w:val="Page Numbers (Bottom of Page)"/>
        <w:docPartUnique/>
      </w:docPartObj>
    </w:sdtPr>
    <w:sdtEndPr>
      <w:rPr>
        <w:noProof/>
      </w:rPr>
    </w:sdtEndPr>
    <w:sdtContent>
      <w:p w:rsidR="00EB4ED7" w:rsidRDefault="00EB4ED7">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rsidR="00EB4ED7" w:rsidRDefault="00EB4ED7">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360E8" w:rsidRDefault="003360E8" w:rsidP="00760677">
    <w:pPr>
      <w:pStyle w:val="Footer"/>
    </w:pPr>
    <w:sdt>
      <w:sdtPr>
        <w:id w:val="1705557553"/>
        <w:docPartObj>
          <w:docPartGallery w:val="Page Numbers (Bottom of Page)"/>
          <w:docPartUnique/>
        </w:docPartObj>
      </w:sdtPr>
      <w:sdtContent>
        <w:r w:rsidRPr="00CB180D">
          <w:t xml:space="preserve">U.S. Energy Information Administration   |   </w:t>
        </w:r>
        <w:sdt>
          <w:sdtPr>
            <w:alias w:val="Subject"/>
            <w:id w:val="1705557554"/>
            <w:dataBinding w:prefixMappings="xmlns:ns0='http://purl.org/dc/elements/1.1/' xmlns:ns1='http://schemas.openxmlformats.org/package/2006/metadata/core-properties' " w:xpath="/ns1:coreProperties[1]/ns0:subject[1]" w:storeItemID="{6C3C8BC8-F283-45AE-878A-BAB7291924A1}"/>
            <w:text/>
          </w:sdtPr>
          <w:sdtContent>
            <w:r>
              <w:t>Improving the Quality and Scope of EIA Data</w:t>
            </w:r>
          </w:sdtContent>
        </w:sdt>
        <w:r w:rsidRPr="00CB180D">
          <w:tab/>
        </w:r>
      </w:sdtContent>
    </w:sdt>
    <w:r w:rsidRPr="00760677">
      <w:t xml:space="preserve"> </w:t>
    </w:r>
    <w:r>
      <w:fldChar w:fldCharType="begin"/>
    </w:r>
    <w:r>
      <w:instrText xml:space="preserve"> PAGE   \* MERGEFORMAT </w:instrText>
    </w:r>
    <w:r>
      <w:fldChar w:fldCharType="separate"/>
    </w:r>
    <w:r>
      <w:rPr>
        <w:noProof/>
      </w:rPr>
      <w:t>1</w:t>
    </w:r>
    <w:r>
      <w:rPr>
        <w:noProof/>
      </w:rPr>
      <w:fldChar w:fldCharType="end"/>
    </w:r>
  </w:p>
  <w:p w:rsidR="003360E8" w:rsidRDefault="003360E8" w:rsidP="0076067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3360E8" w:rsidRDefault="003360E8" w:rsidP="00536CE1">
      <w:pPr>
        <w:spacing w:after="0" w:line="240" w:lineRule="auto"/>
      </w:pPr>
      <w:r>
        <w:separator/>
      </w:r>
    </w:p>
  </w:footnote>
  <w:footnote w:type="continuationSeparator" w:id="0">
    <w:p w:rsidR="003360E8" w:rsidRDefault="003360E8" w:rsidP="00536CE1">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360E8" w:rsidRPr="00373208" w:rsidRDefault="003360E8" w:rsidP="00041909">
    <w:pPr>
      <w:pStyle w:val="Header"/>
    </w:pPr>
    <w:r>
      <w:t>September 2011</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360E8" w:rsidRPr="00F8298C" w:rsidRDefault="003360E8" w:rsidP="00041909">
    <w:pPr>
      <w:pStyle w:val="Header"/>
    </w:pPr>
    <w:r>
      <w:t>January 5, 2018</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360E8" w:rsidRDefault="003360E8" w:rsidP="00041909">
    <w:pPr>
      <w:pStyle w:val="Header"/>
    </w:pPr>
    <w:r>
      <w:t>December 2011</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794009E0"/>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7B24A21C"/>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6DFCCB4A"/>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2D9626D0"/>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A5E02EFE"/>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406447E"/>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948091A"/>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5268DBE4"/>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8220A528"/>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56A44888"/>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1B47BD8"/>
    <w:multiLevelType w:val="multilevel"/>
    <w:tmpl w:val="1A40605C"/>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pStyle w:val="Heading7"/>
      <w:lvlText w:val="%1.%2.%3.%4.%5.%6.%7."/>
      <w:lvlJc w:val="left"/>
      <w:pPr>
        <w:ind w:left="3240" w:hanging="1080"/>
      </w:pPr>
      <w:rPr>
        <w:rFonts w:hint="default"/>
      </w:rPr>
    </w:lvl>
    <w:lvl w:ilvl="7">
      <w:start w:val="1"/>
      <w:numFmt w:val="decimal"/>
      <w:pStyle w:val="Heading8"/>
      <w:lvlText w:val="%1.%2.%3.%4.%5.%6.%7.%8."/>
      <w:lvlJc w:val="left"/>
      <w:pPr>
        <w:ind w:left="3744" w:hanging="1224"/>
      </w:pPr>
      <w:rPr>
        <w:rFonts w:hint="default"/>
      </w:rPr>
    </w:lvl>
    <w:lvl w:ilvl="8">
      <w:start w:val="1"/>
      <w:numFmt w:val="decimal"/>
      <w:pStyle w:val="Heading9"/>
      <w:lvlText w:val="%1.%2.%3.%4.%5.%6.%7.%8.%9."/>
      <w:lvlJc w:val="left"/>
      <w:pPr>
        <w:ind w:left="4320" w:hanging="1440"/>
      </w:pPr>
      <w:rPr>
        <w:rFonts w:hint="default"/>
      </w:rPr>
    </w:lvl>
  </w:abstractNum>
  <w:abstractNum w:abstractNumId="11" w15:restartNumberingAfterBreak="0">
    <w:nsid w:val="054720A0"/>
    <w:multiLevelType w:val="multilevel"/>
    <w:tmpl w:val="940AAD72"/>
    <w:lvl w:ilvl="0">
      <w:start w:val="1"/>
      <w:numFmt w:val="decimal"/>
      <w:lvlText w:val="%1."/>
      <w:lvlJc w:val="left"/>
      <w:pPr>
        <w:ind w:left="1440" w:hanging="360"/>
      </w:pPr>
      <w:rPr>
        <w:rFonts w:hint="default"/>
      </w:rPr>
    </w:lvl>
    <w:lvl w:ilvl="1">
      <w:start w:val="1"/>
      <w:numFmt w:val="bullet"/>
      <w:lvlText w:val=""/>
      <w:lvlJc w:val="left"/>
      <w:pPr>
        <w:ind w:left="2160" w:hanging="360"/>
      </w:pPr>
      <w:rPr>
        <w:rFonts w:ascii="Symbol" w:hAnsi="Symbol" w:hint="default"/>
      </w:rPr>
    </w:lvl>
    <w:lvl w:ilvl="2">
      <w:start w:val="1"/>
      <w:numFmt w:val="bullet"/>
      <w:lvlText w:val=""/>
      <w:lvlJc w:val="left"/>
      <w:pPr>
        <w:ind w:left="2880" w:hanging="360"/>
      </w:pPr>
      <w:rPr>
        <w:rFonts w:ascii="Symbol" w:hAnsi="Symbol" w:hint="default"/>
        <w:color w:val="auto"/>
      </w:rPr>
    </w:lvl>
    <w:lvl w:ilvl="3">
      <w:start w:val="1"/>
      <w:numFmt w:val="bullet"/>
      <w:lvlText w:val=""/>
      <w:lvlJc w:val="left"/>
      <w:pPr>
        <w:ind w:left="3600" w:hanging="360"/>
      </w:pPr>
      <w:rPr>
        <w:rFonts w:ascii="Symbol" w:hAnsi="Symbol" w:hint="default"/>
      </w:rPr>
    </w:lvl>
    <w:lvl w:ilvl="4">
      <w:start w:val="1"/>
      <w:numFmt w:val="bullet"/>
      <w:lvlText w:val=""/>
      <w:lvlJc w:val="left"/>
      <w:pPr>
        <w:ind w:left="4320" w:hanging="360"/>
      </w:pPr>
      <w:rPr>
        <w:rFonts w:ascii="Symbol" w:hAnsi="Symbol" w:hint="default"/>
        <w:color w:val="auto"/>
      </w:rPr>
    </w:lvl>
    <w:lvl w:ilvl="5">
      <w:start w:val="1"/>
      <w:numFmt w:val="bullet"/>
      <w:lvlText w:val=""/>
      <w:lvlJc w:val="left"/>
      <w:pPr>
        <w:ind w:left="5040" w:hanging="360"/>
      </w:pPr>
      <w:rPr>
        <w:rFonts w:ascii="Symbol" w:hAnsi="Symbol" w:hint="default"/>
      </w:rPr>
    </w:lvl>
    <w:lvl w:ilvl="6">
      <w:start w:val="1"/>
      <w:numFmt w:val="bullet"/>
      <w:lvlText w:val=""/>
      <w:lvlJc w:val="left"/>
      <w:pPr>
        <w:ind w:left="5760" w:hanging="360"/>
      </w:pPr>
      <w:rPr>
        <w:rFonts w:ascii="Symbol" w:hAnsi="Symbol" w:hint="default"/>
      </w:rPr>
    </w:lvl>
    <w:lvl w:ilvl="7">
      <w:start w:val="1"/>
      <w:numFmt w:val="bullet"/>
      <w:lvlText w:val=""/>
      <w:lvlJc w:val="left"/>
      <w:pPr>
        <w:ind w:left="6480" w:hanging="360"/>
      </w:pPr>
      <w:rPr>
        <w:rFonts w:ascii="Symbol" w:hAnsi="Symbol" w:hint="default"/>
      </w:rPr>
    </w:lvl>
    <w:lvl w:ilvl="8">
      <w:start w:val="1"/>
      <w:numFmt w:val="bullet"/>
      <w:lvlText w:val=""/>
      <w:lvlJc w:val="left"/>
      <w:pPr>
        <w:ind w:left="7200" w:hanging="360"/>
      </w:pPr>
      <w:rPr>
        <w:rFonts w:ascii="Symbol" w:hAnsi="Symbol" w:hint="default"/>
        <w:color w:val="auto"/>
      </w:rPr>
    </w:lvl>
  </w:abstractNum>
  <w:abstractNum w:abstractNumId="12" w15:restartNumberingAfterBreak="0">
    <w:nsid w:val="069F36C6"/>
    <w:multiLevelType w:val="multilevel"/>
    <w:tmpl w:val="E258FFEA"/>
    <w:lvl w:ilvl="0">
      <w:start w:val="1"/>
      <w:numFmt w:val="bullet"/>
      <w:pStyle w:val="ListParagraph"/>
      <w:lvlText w:val=""/>
      <w:lvlJc w:val="left"/>
      <w:pPr>
        <w:ind w:left="1440" w:hanging="360"/>
      </w:pPr>
      <w:rPr>
        <w:rFonts w:ascii="Symbol" w:hAnsi="Symbol" w:hint="default"/>
      </w:rPr>
    </w:lvl>
    <w:lvl w:ilvl="1">
      <w:start w:val="1"/>
      <w:numFmt w:val="bullet"/>
      <w:lvlText w:val=""/>
      <w:lvlJc w:val="left"/>
      <w:pPr>
        <w:ind w:left="2160" w:hanging="360"/>
      </w:pPr>
      <w:rPr>
        <w:rFonts w:ascii="Symbol" w:hAnsi="Symbol" w:hint="default"/>
      </w:rPr>
    </w:lvl>
    <w:lvl w:ilvl="2">
      <w:start w:val="1"/>
      <w:numFmt w:val="bullet"/>
      <w:lvlText w:val=""/>
      <w:lvlJc w:val="left"/>
      <w:pPr>
        <w:ind w:left="2880" w:hanging="360"/>
      </w:pPr>
      <w:rPr>
        <w:rFonts w:ascii="Symbol" w:hAnsi="Symbol" w:hint="default"/>
        <w:color w:val="auto"/>
      </w:rPr>
    </w:lvl>
    <w:lvl w:ilvl="3">
      <w:start w:val="1"/>
      <w:numFmt w:val="bullet"/>
      <w:lvlText w:val=""/>
      <w:lvlJc w:val="left"/>
      <w:pPr>
        <w:ind w:left="3600" w:hanging="360"/>
      </w:pPr>
      <w:rPr>
        <w:rFonts w:ascii="Symbol" w:hAnsi="Symbol" w:hint="default"/>
      </w:rPr>
    </w:lvl>
    <w:lvl w:ilvl="4">
      <w:start w:val="1"/>
      <w:numFmt w:val="bullet"/>
      <w:lvlText w:val=""/>
      <w:lvlJc w:val="left"/>
      <w:pPr>
        <w:ind w:left="4320" w:hanging="360"/>
      </w:pPr>
      <w:rPr>
        <w:rFonts w:ascii="Symbol" w:hAnsi="Symbol" w:hint="default"/>
        <w:color w:val="auto"/>
      </w:rPr>
    </w:lvl>
    <w:lvl w:ilvl="5">
      <w:start w:val="1"/>
      <w:numFmt w:val="bullet"/>
      <w:lvlText w:val=""/>
      <w:lvlJc w:val="left"/>
      <w:pPr>
        <w:ind w:left="5040" w:hanging="360"/>
      </w:pPr>
      <w:rPr>
        <w:rFonts w:ascii="Symbol" w:hAnsi="Symbol" w:hint="default"/>
      </w:rPr>
    </w:lvl>
    <w:lvl w:ilvl="6">
      <w:start w:val="1"/>
      <w:numFmt w:val="bullet"/>
      <w:lvlText w:val=""/>
      <w:lvlJc w:val="left"/>
      <w:pPr>
        <w:ind w:left="5760" w:hanging="360"/>
      </w:pPr>
      <w:rPr>
        <w:rFonts w:ascii="Symbol" w:hAnsi="Symbol" w:hint="default"/>
      </w:rPr>
    </w:lvl>
    <w:lvl w:ilvl="7">
      <w:start w:val="1"/>
      <w:numFmt w:val="bullet"/>
      <w:lvlText w:val=""/>
      <w:lvlJc w:val="left"/>
      <w:pPr>
        <w:ind w:left="6480" w:hanging="360"/>
      </w:pPr>
      <w:rPr>
        <w:rFonts w:ascii="Symbol" w:hAnsi="Symbol" w:hint="default"/>
      </w:rPr>
    </w:lvl>
    <w:lvl w:ilvl="8">
      <w:start w:val="1"/>
      <w:numFmt w:val="bullet"/>
      <w:lvlText w:val=""/>
      <w:lvlJc w:val="left"/>
      <w:pPr>
        <w:ind w:left="7200" w:hanging="360"/>
      </w:pPr>
      <w:rPr>
        <w:rFonts w:ascii="Symbol" w:hAnsi="Symbol" w:hint="default"/>
        <w:color w:val="auto"/>
      </w:rPr>
    </w:lvl>
  </w:abstractNum>
  <w:abstractNum w:abstractNumId="13" w15:restartNumberingAfterBreak="0">
    <w:nsid w:val="3AAA5C3B"/>
    <w:multiLevelType w:val="hybridMultilevel"/>
    <w:tmpl w:val="09263B4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43CA4DC3"/>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44552478"/>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6" w15:restartNumberingAfterBreak="0">
    <w:nsid w:val="51666C8F"/>
    <w:multiLevelType w:val="hybridMultilevel"/>
    <w:tmpl w:val="2EDAB452"/>
    <w:lvl w:ilvl="0" w:tplc="BDB69D94">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7" w15:restartNumberingAfterBreak="0">
    <w:nsid w:val="6F863061"/>
    <w:multiLevelType w:val="multilevel"/>
    <w:tmpl w:val="513E1B74"/>
    <w:lvl w:ilvl="0">
      <w:start w:val="1"/>
      <w:numFmt w:val="none"/>
      <w:pStyle w:val="Heading1"/>
      <w:suff w:val="nothing"/>
      <w:lvlText w:val=""/>
      <w:lvlJc w:val="left"/>
      <w:pPr>
        <w:ind w:left="0" w:firstLine="0"/>
      </w:pPr>
      <w:rPr>
        <w:rFonts w:hint="default"/>
      </w:rPr>
    </w:lvl>
    <w:lvl w:ilvl="1">
      <w:start w:val="1"/>
      <w:numFmt w:val="decimal"/>
      <w:lvlText w:val="%1"/>
      <w:lvlJc w:val="left"/>
      <w:pPr>
        <w:ind w:left="792" w:hanging="432"/>
      </w:pPr>
      <w:rPr>
        <w:rFonts w:hint="default"/>
      </w:rPr>
    </w:lvl>
    <w:lvl w:ilvl="2">
      <w:start w:val="1"/>
      <w:numFmt w:val="decimal"/>
      <w:lvlText w:val="%1"/>
      <w:lvlJc w:val="left"/>
      <w:pPr>
        <w:ind w:left="1224" w:hanging="504"/>
      </w:pPr>
      <w:rPr>
        <w:rFonts w:hint="default"/>
      </w:rPr>
    </w:lvl>
    <w:lvl w:ilvl="3">
      <w:start w:val="1"/>
      <w:numFmt w:val="decimal"/>
      <w:lvlText w:val="%1"/>
      <w:lvlJc w:val="left"/>
      <w:pPr>
        <w:ind w:left="1728" w:hanging="648"/>
      </w:pPr>
      <w:rPr>
        <w:rFonts w:hint="default"/>
      </w:rPr>
    </w:lvl>
    <w:lvl w:ilvl="4">
      <w:start w:val="1"/>
      <w:numFmt w:val="decimal"/>
      <w:lvlText w:val="%1"/>
      <w:lvlJc w:val="left"/>
      <w:pPr>
        <w:ind w:left="2232" w:hanging="792"/>
      </w:pPr>
      <w:rPr>
        <w:rFonts w:hint="default"/>
      </w:rPr>
    </w:lvl>
    <w:lvl w:ilvl="5">
      <w:start w:val="1"/>
      <w:numFmt w:val="decimal"/>
      <w:lvlText w:val="%1"/>
      <w:lvlJc w:val="left"/>
      <w:pPr>
        <w:ind w:left="2736" w:hanging="936"/>
      </w:pPr>
      <w:rPr>
        <w:rFonts w:hint="default"/>
      </w:rPr>
    </w:lvl>
    <w:lvl w:ilvl="6">
      <w:start w:val="1"/>
      <w:numFmt w:val="decimal"/>
      <w:lvlText w:val="%1"/>
      <w:lvlJc w:val="left"/>
      <w:pPr>
        <w:ind w:left="3240" w:hanging="1080"/>
      </w:pPr>
      <w:rPr>
        <w:rFonts w:hint="default"/>
      </w:rPr>
    </w:lvl>
    <w:lvl w:ilvl="7">
      <w:start w:val="1"/>
      <w:numFmt w:val="decimal"/>
      <w:lvlText w:val="%1"/>
      <w:lvlJc w:val="left"/>
      <w:pPr>
        <w:ind w:left="3744" w:hanging="1224"/>
      </w:pPr>
      <w:rPr>
        <w:rFonts w:hint="default"/>
      </w:rPr>
    </w:lvl>
    <w:lvl w:ilvl="8">
      <w:numFmt w:val="decimal"/>
      <w:lvlRestart w:val="0"/>
      <w:lvlText w:val="%1"/>
      <w:lvlJc w:val="left"/>
      <w:pPr>
        <w:ind w:left="4320" w:hanging="1440"/>
      </w:pPr>
      <w:rPr>
        <w:rFonts w:hint="default"/>
      </w:rPr>
    </w:lvl>
  </w:abstractNum>
  <w:abstractNum w:abstractNumId="18" w15:restartNumberingAfterBreak="0">
    <w:nsid w:val="7BCC14F2"/>
    <w:multiLevelType w:val="multilevel"/>
    <w:tmpl w:val="B53AECF4"/>
    <w:lvl w:ilvl="0">
      <w:start w:val="1"/>
      <w:numFmt w:val="bullet"/>
      <w:lvlText w:val=""/>
      <w:lvlJc w:val="left"/>
      <w:pPr>
        <w:ind w:left="720" w:hanging="360"/>
      </w:pPr>
      <w:rPr>
        <w:rFonts w:ascii="Symbol" w:hAnsi="Symbol" w:hint="default"/>
      </w:rPr>
    </w:lvl>
    <w:lvl w:ilvl="1">
      <w:start w:val="1"/>
      <w:numFmt w:val="bullet"/>
      <w:lvlText w:val=""/>
      <w:lvlJc w:val="left"/>
      <w:pPr>
        <w:ind w:left="2160" w:hanging="360"/>
      </w:pPr>
      <w:rPr>
        <w:rFonts w:ascii="Symbol" w:hAnsi="Symbol" w:hint="default"/>
      </w:rPr>
    </w:lvl>
    <w:lvl w:ilvl="2">
      <w:start w:val="1"/>
      <w:numFmt w:val="bullet"/>
      <w:lvlText w:val=""/>
      <w:lvlJc w:val="left"/>
      <w:pPr>
        <w:ind w:left="2880" w:hanging="360"/>
      </w:pPr>
      <w:rPr>
        <w:rFonts w:ascii="Symbol" w:hAnsi="Symbol" w:hint="default"/>
        <w:color w:val="auto"/>
      </w:rPr>
    </w:lvl>
    <w:lvl w:ilvl="3">
      <w:start w:val="1"/>
      <w:numFmt w:val="bullet"/>
      <w:lvlText w:val=""/>
      <w:lvlJc w:val="left"/>
      <w:pPr>
        <w:ind w:left="3600" w:hanging="360"/>
      </w:pPr>
      <w:rPr>
        <w:rFonts w:ascii="Symbol" w:hAnsi="Symbol" w:hint="default"/>
      </w:rPr>
    </w:lvl>
    <w:lvl w:ilvl="4">
      <w:start w:val="1"/>
      <w:numFmt w:val="bullet"/>
      <w:lvlText w:val=""/>
      <w:lvlJc w:val="left"/>
      <w:pPr>
        <w:ind w:left="4320" w:hanging="360"/>
      </w:pPr>
      <w:rPr>
        <w:rFonts w:ascii="Symbol" w:hAnsi="Symbol" w:hint="default"/>
        <w:color w:val="auto"/>
      </w:rPr>
    </w:lvl>
    <w:lvl w:ilvl="5">
      <w:start w:val="1"/>
      <w:numFmt w:val="bullet"/>
      <w:lvlText w:val=""/>
      <w:lvlJc w:val="left"/>
      <w:pPr>
        <w:ind w:left="5040" w:hanging="360"/>
      </w:pPr>
      <w:rPr>
        <w:rFonts w:ascii="Symbol" w:hAnsi="Symbol" w:hint="default"/>
      </w:rPr>
    </w:lvl>
    <w:lvl w:ilvl="6">
      <w:start w:val="1"/>
      <w:numFmt w:val="bullet"/>
      <w:lvlText w:val=""/>
      <w:lvlJc w:val="left"/>
      <w:pPr>
        <w:ind w:left="5760" w:hanging="360"/>
      </w:pPr>
      <w:rPr>
        <w:rFonts w:ascii="Symbol" w:hAnsi="Symbol" w:hint="default"/>
      </w:rPr>
    </w:lvl>
    <w:lvl w:ilvl="7">
      <w:start w:val="1"/>
      <w:numFmt w:val="bullet"/>
      <w:lvlText w:val=""/>
      <w:lvlJc w:val="left"/>
      <w:pPr>
        <w:ind w:left="6480" w:hanging="360"/>
      </w:pPr>
      <w:rPr>
        <w:rFonts w:ascii="Symbol" w:hAnsi="Symbol" w:hint="default"/>
      </w:rPr>
    </w:lvl>
    <w:lvl w:ilvl="8">
      <w:start w:val="1"/>
      <w:numFmt w:val="bullet"/>
      <w:lvlText w:val=""/>
      <w:lvlJc w:val="left"/>
      <w:pPr>
        <w:ind w:left="7200" w:hanging="360"/>
      </w:pPr>
      <w:rPr>
        <w:rFonts w:ascii="Symbol" w:hAnsi="Symbol" w:hint="default"/>
        <w:color w:val="auto"/>
      </w:r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16"/>
  </w:num>
  <w:num w:numId="13">
    <w:abstractNumId w:val="12"/>
  </w:num>
  <w:num w:numId="14">
    <w:abstractNumId w:val="13"/>
  </w:num>
  <w:num w:numId="15">
    <w:abstractNumId w:val="15"/>
  </w:num>
  <w:num w:numId="16">
    <w:abstractNumId w:val="10"/>
  </w:num>
  <w:num w:numId="17">
    <w:abstractNumId w:val="10"/>
  </w:num>
  <w:num w:numId="18">
    <w:abstractNumId w:val="14"/>
  </w:num>
  <w:num w:numId="1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0"/>
    <w:lvlOverride w:ilvl="0">
      <w:lvl w:ilvl="0">
        <w:start w:val="1"/>
        <w:numFmt w:val="decimal"/>
        <w:lvlText w:val="%1."/>
        <w:lvlJc w:val="left"/>
        <w:pPr>
          <w:ind w:left="360" w:hanging="360"/>
        </w:pPr>
        <w:rPr>
          <w:rFonts w:hint="default"/>
        </w:rPr>
      </w:lvl>
    </w:lvlOverride>
    <w:lvlOverride w:ilvl="1">
      <w:lvl w:ilvl="1">
        <w:start w:val="1"/>
        <w:numFmt w:val="decimal"/>
        <w:lvlText w:val="%1.%2."/>
        <w:lvlJc w:val="left"/>
        <w:pPr>
          <w:ind w:left="792" w:hanging="432"/>
        </w:pPr>
        <w:rPr>
          <w:rFonts w:hint="default"/>
        </w:rPr>
      </w:lvl>
    </w:lvlOverride>
    <w:lvlOverride w:ilvl="2">
      <w:lvl w:ilvl="2">
        <w:start w:val="1"/>
        <w:numFmt w:val="decimal"/>
        <w:lvlText w:val="%1.%2.%3."/>
        <w:lvlJc w:val="left"/>
        <w:pPr>
          <w:ind w:left="1224" w:hanging="504"/>
        </w:pPr>
        <w:rPr>
          <w:rFonts w:hint="default"/>
        </w:rPr>
      </w:lvl>
    </w:lvlOverride>
    <w:lvlOverride w:ilvl="3">
      <w:lvl w:ilvl="3">
        <w:start w:val="1"/>
        <w:numFmt w:val="decimal"/>
        <w:lvlText w:val="%1.%2.%3.%4."/>
        <w:lvlJc w:val="left"/>
        <w:pPr>
          <w:ind w:left="1728" w:hanging="648"/>
        </w:pPr>
        <w:rPr>
          <w:rFonts w:hint="default"/>
        </w:rPr>
      </w:lvl>
    </w:lvlOverride>
    <w:lvlOverride w:ilvl="4">
      <w:lvl w:ilvl="4">
        <w:start w:val="1"/>
        <w:numFmt w:val="decimal"/>
        <w:lvlText w:val="%1.%2.%3.%4.%5."/>
        <w:lvlJc w:val="left"/>
        <w:pPr>
          <w:ind w:left="2232" w:hanging="792"/>
        </w:pPr>
        <w:rPr>
          <w:rFonts w:hint="default"/>
        </w:rPr>
      </w:lvl>
    </w:lvlOverride>
    <w:lvlOverride w:ilvl="5">
      <w:lvl w:ilvl="5">
        <w:start w:val="1"/>
        <w:numFmt w:val="decimal"/>
        <w:lvlText w:val="%1.%2.%3.%4.%5.%6."/>
        <w:lvlJc w:val="left"/>
        <w:pPr>
          <w:ind w:left="2736" w:hanging="936"/>
        </w:pPr>
        <w:rPr>
          <w:rFonts w:hint="default"/>
        </w:rPr>
      </w:lvl>
    </w:lvlOverride>
    <w:lvlOverride w:ilvl="6">
      <w:lvl w:ilvl="6">
        <w:start w:val="1"/>
        <w:numFmt w:val="decimal"/>
        <w:pStyle w:val="Heading7"/>
        <w:lvlText w:val="%1.%2.%3.%4.%5.%6.%7."/>
        <w:lvlJc w:val="left"/>
        <w:pPr>
          <w:ind w:left="3240" w:hanging="1080"/>
        </w:pPr>
        <w:rPr>
          <w:rFonts w:hint="default"/>
        </w:rPr>
      </w:lvl>
    </w:lvlOverride>
    <w:lvlOverride w:ilvl="7">
      <w:lvl w:ilvl="7">
        <w:start w:val="1"/>
        <w:numFmt w:val="decimal"/>
        <w:pStyle w:val="Heading8"/>
        <w:lvlText w:val="%1.%2.%3.%4.%5.%6.%7.%8."/>
        <w:lvlJc w:val="left"/>
        <w:pPr>
          <w:ind w:left="3744" w:hanging="1224"/>
        </w:pPr>
        <w:rPr>
          <w:rFonts w:hint="default"/>
        </w:rPr>
      </w:lvl>
    </w:lvlOverride>
    <w:lvlOverride w:ilvl="8">
      <w:lvl w:ilvl="8">
        <w:start w:val="1"/>
        <w:numFmt w:val="decimal"/>
        <w:pStyle w:val="Heading9"/>
        <w:lvlText w:val="%1.%2.%3.%4.%5.%6.%7.%8.%9."/>
        <w:lvlJc w:val="left"/>
        <w:pPr>
          <w:ind w:left="4320" w:hanging="1440"/>
        </w:pPr>
        <w:rPr>
          <w:rFonts w:hint="default"/>
        </w:rPr>
      </w:lvl>
    </w:lvlOverride>
  </w:num>
  <w:num w:numId="21">
    <w:abstractNumId w:val="10"/>
  </w:num>
  <w:num w:numId="22">
    <w:abstractNumId w:val="10"/>
  </w:num>
  <w:num w:numId="23">
    <w:abstractNumId w:val="10"/>
  </w:num>
  <w:num w:numId="24">
    <w:abstractNumId w:val="10"/>
  </w:num>
  <w:num w:numId="25">
    <w:abstractNumId w:val="10"/>
  </w:num>
  <w:num w:numId="26">
    <w:abstractNumId w:val="17"/>
  </w:num>
  <w:num w:numId="27">
    <w:abstractNumId w:val="10"/>
  </w:num>
  <w:num w:numId="28">
    <w:abstractNumId w:val="17"/>
  </w:num>
  <w:num w:numId="29">
    <w:abstractNumId w:val="17"/>
  </w:num>
  <w:num w:numId="30">
    <w:abstractNumId w:val="17"/>
  </w:num>
  <w:num w:numId="31">
    <w:abstractNumId w:val="10"/>
  </w:num>
  <w:num w:numId="32">
    <w:abstractNumId w:val="10"/>
  </w:num>
  <w:num w:numId="33">
    <w:abstractNumId w:val="10"/>
  </w:num>
  <w:num w:numId="34">
    <w:abstractNumId w:val="9"/>
  </w:num>
  <w:num w:numId="35">
    <w:abstractNumId w:val="7"/>
  </w:num>
  <w:num w:numId="36">
    <w:abstractNumId w:val="6"/>
  </w:num>
  <w:num w:numId="37">
    <w:abstractNumId w:val="5"/>
  </w:num>
  <w:num w:numId="38">
    <w:abstractNumId w:val="12"/>
  </w:num>
  <w:num w:numId="39">
    <w:abstractNumId w:val="17"/>
  </w:num>
  <w:num w:numId="40">
    <w:abstractNumId w:val="17"/>
  </w:num>
  <w:num w:numId="41">
    <w:abstractNumId w:val="17"/>
  </w:num>
  <w:num w:numId="42">
    <w:abstractNumId w:val="12"/>
  </w:num>
  <w:num w:numId="43">
    <w:abstractNumId w:val="12"/>
  </w:num>
  <w:num w:numId="44">
    <w:abstractNumId w:val="12"/>
  </w:num>
  <w:num w:numId="45">
    <w:abstractNumId w:val="12"/>
  </w:num>
  <w:num w:numId="46">
    <w:abstractNumId w:val="11"/>
  </w:num>
  <w:num w:numId="47">
    <w:abstractNumId w:val="18"/>
  </w:num>
  <w:num w:numId="48">
    <w:abstractNumId w:val="1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hideSpellingErrors/>
  <w:hideGrammaticalErrors/>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ocumentProtection w:formatting="1" w:enforcement="0"/>
  <w:styleLockTheme/>
  <w:styleLockQFSet/>
  <w:defaultTabStop w:val="720"/>
  <w:drawingGridHorizontalSpacing w:val="110"/>
  <w:displayHorizontalDrawingGridEvery w:val="2"/>
  <w:characterSpacingControl w:val="doNotCompress"/>
  <w:hdrShapeDefaults>
    <o:shapedefaults v:ext="edit" spidmax="4097" fill="f" fillcolor="white" stroke="f">
      <v:fill color="white" on="f"/>
      <v:stroke on="f"/>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04947"/>
    <w:rsid w:val="0000019D"/>
    <w:rsid w:val="0000364C"/>
    <w:rsid w:val="00004135"/>
    <w:rsid w:val="000041A1"/>
    <w:rsid w:val="000053BB"/>
    <w:rsid w:val="00011B3F"/>
    <w:rsid w:val="00013373"/>
    <w:rsid w:val="000142E5"/>
    <w:rsid w:val="00015DA7"/>
    <w:rsid w:val="000248CE"/>
    <w:rsid w:val="00034A4B"/>
    <w:rsid w:val="00041909"/>
    <w:rsid w:val="00046593"/>
    <w:rsid w:val="00047C08"/>
    <w:rsid w:val="000556B6"/>
    <w:rsid w:val="00055769"/>
    <w:rsid w:val="00056EC3"/>
    <w:rsid w:val="00062CFE"/>
    <w:rsid w:val="0007129A"/>
    <w:rsid w:val="000831C4"/>
    <w:rsid w:val="000844CA"/>
    <w:rsid w:val="000B3FBE"/>
    <w:rsid w:val="000C5311"/>
    <w:rsid w:val="000F040A"/>
    <w:rsid w:val="001034E8"/>
    <w:rsid w:val="00112A69"/>
    <w:rsid w:val="0011541D"/>
    <w:rsid w:val="00132F4A"/>
    <w:rsid w:val="00160925"/>
    <w:rsid w:val="00167425"/>
    <w:rsid w:val="001807A3"/>
    <w:rsid w:val="001947D5"/>
    <w:rsid w:val="001A6E1E"/>
    <w:rsid w:val="001B0E69"/>
    <w:rsid w:val="001D03A8"/>
    <w:rsid w:val="001F3A8F"/>
    <w:rsid w:val="002008B4"/>
    <w:rsid w:val="00201F24"/>
    <w:rsid w:val="002127CE"/>
    <w:rsid w:val="00215842"/>
    <w:rsid w:val="002207DF"/>
    <w:rsid w:val="00221AC2"/>
    <w:rsid w:val="00227E4B"/>
    <w:rsid w:val="0023015A"/>
    <w:rsid w:val="0023708A"/>
    <w:rsid w:val="0025022D"/>
    <w:rsid w:val="002530BB"/>
    <w:rsid w:val="002556F3"/>
    <w:rsid w:val="00260EDF"/>
    <w:rsid w:val="00264148"/>
    <w:rsid w:val="00274179"/>
    <w:rsid w:val="0028122D"/>
    <w:rsid w:val="002B0FD2"/>
    <w:rsid w:val="002C378C"/>
    <w:rsid w:val="002E3FD5"/>
    <w:rsid w:val="002E7A38"/>
    <w:rsid w:val="00306516"/>
    <w:rsid w:val="003360E8"/>
    <w:rsid w:val="003469CB"/>
    <w:rsid w:val="00346BDC"/>
    <w:rsid w:val="00350C8B"/>
    <w:rsid w:val="00363331"/>
    <w:rsid w:val="00371E14"/>
    <w:rsid w:val="00373208"/>
    <w:rsid w:val="00383DB3"/>
    <w:rsid w:val="003854B2"/>
    <w:rsid w:val="00385AE6"/>
    <w:rsid w:val="00387C8D"/>
    <w:rsid w:val="00392DD0"/>
    <w:rsid w:val="00396BCB"/>
    <w:rsid w:val="00397825"/>
    <w:rsid w:val="003A1073"/>
    <w:rsid w:val="003A10F3"/>
    <w:rsid w:val="003A3906"/>
    <w:rsid w:val="003B03A4"/>
    <w:rsid w:val="003C03EA"/>
    <w:rsid w:val="003C690C"/>
    <w:rsid w:val="003E40FA"/>
    <w:rsid w:val="003F24ED"/>
    <w:rsid w:val="003F529E"/>
    <w:rsid w:val="00426481"/>
    <w:rsid w:val="00432966"/>
    <w:rsid w:val="0045608E"/>
    <w:rsid w:val="0045662F"/>
    <w:rsid w:val="00466959"/>
    <w:rsid w:val="0047784B"/>
    <w:rsid w:val="004946F0"/>
    <w:rsid w:val="00497C2A"/>
    <w:rsid w:val="004B1075"/>
    <w:rsid w:val="004C277B"/>
    <w:rsid w:val="004D05FB"/>
    <w:rsid w:val="004D0F05"/>
    <w:rsid w:val="004D29C7"/>
    <w:rsid w:val="00504119"/>
    <w:rsid w:val="005065CF"/>
    <w:rsid w:val="00506BB4"/>
    <w:rsid w:val="0050705F"/>
    <w:rsid w:val="005170D3"/>
    <w:rsid w:val="0052493A"/>
    <w:rsid w:val="00535CAF"/>
    <w:rsid w:val="00536054"/>
    <w:rsid w:val="0053654B"/>
    <w:rsid w:val="00536CE1"/>
    <w:rsid w:val="0054180D"/>
    <w:rsid w:val="00547B53"/>
    <w:rsid w:val="00571D8F"/>
    <w:rsid w:val="0057367D"/>
    <w:rsid w:val="00585BE3"/>
    <w:rsid w:val="005B2B58"/>
    <w:rsid w:val="005C00FA"/>
    <w:rsid w:val="005C2D89"/>
    <w:rsid w:val="005C485B"/>
    <w:rsid w:val="005D39D7"/>
    <w:rsid w:val="005D5956"/>
    <w:rsid w:val="005D6F63"/>
    <w:rsid w:val="005F4848"/>
    <w:rsid w:val="0062008C"/>
    <w:rsid w:val="00620797"/>
    <w:rsid w:val="00626494"/>
    <w:rsid w:val="00641DE2"/>
    <w:rsid w:val="00643384"/>
    <w:rsid w:val="0065406F"/>
    <w:rsid w:val="00663EC4"/>
    <w:rsid w:val="00677C5F"/>
    <w:rsid w:val="006A0BC7"/>
    <w:rsid w:val="006C0062"/>
    <w:rsid w:val="006C097E"/>
    <w:rsid w:val="006C2DC3"/>
    <w:rsid w:val="006D0439"/>
    <w:rsid w:val="006D466F"/>
    <w:rsid w:val="00725453"/>
    <w:rsid w:val="00737591"/>
    <w:rsid w:val="007438F2"/>
    <w:rsid w:val="00755C3D"/>
    <w:rsid w:val="007576EF"/>
    <w:rsid w:val="00760677"/>
    <w:rsid w:val="00761C12"/>
    <w:rsid w:val="00776CF4"/>
    <w:rsid w:val="00784F89"/>
    <w:rsid w:val="00786336"/>
    <w:rsid w:val="007A4264"/>
    <w:rsid w:val="007A4378"/>
    <w:rsid w:val="007C5CE9"/>
    <w:rsid w:val="007D39CC"/>
    <w:rsid w:val="007D6AAF"/>
    <w:rsid w:val="007E37FC"/>
    <w:rsid w:val="007E5A11"/>
    <w:rsid w:val="007E73E6"/>
    <w:rsid w:val="007F1954"/>
    <w:rsid w:val="007F21D7"/>
    <w:rsid w:val="008057F8"/>
    <w:rsid w:val="008307E1"/>
    <w:rsid w:val="00867160"/>
    <w:rsid w:val="0087205B"/>
    <w:rsid w:val="00874FB8"/>
    <w:rsid w:val="00895669"/>
    <w:rsid w:val="00897946"/>
    <w:rsid w:val="008A3276"/>
    <w:rsid w:val="008A3447"/>
    <w:rsid w:val="008E4BF2"/>
    <w:rsid w:val="008F4CBD"/>
    <w:rsid w:val="009017AD"/>
    <w:rsid w:val="00901BED"/>
    <w:rsid w:val="00905735"/>
    <w:rsid w:val="009131B9"/>
    <w:rsid w:val="00935805"/>
    <w:rsid w:val="009368F3"/>
    <w:rsid w:val="00947C42"/>
    <w:rsid w:val="00950489"/>
    <w:rsid w:val="00957DE9"/>
    <w:rsid w:val="00965A44"/>
    <w:rsid w:val="00967D7C"/>
    <w:rsid w:val="009757AD"/>
    <w:rsid w:val="00980B6A"/>
    <w:rsid w:val="009818F9"/>
    <w:rsid w:val="0098618F"/>
    <w:rsid w:val="00987C32"/>
    <w:rsid w:val="00991646"/>
    <w:rsid w:val="0099448B"/>
    <w:rsid w:val="00997347"/>
    <w:rsid w:val="009B19CE"/>
    <w:rsid w:val="009C202F"/>
    <w:rsid w:val="009C77F7"/>
    <w:rsid w:val="009E5ABC"/>
    <w:rsid w:val="009E5B9C"/>
    <w:rsid w:val="00A00D71"/>
    <w:rsid w:val="00A00EDF"/>
    <w:rsid w:val="00A26A17"/>
    <w:rsid w:val="00A30169"/>
    <w:rsid w:val="00A312A3"/>
    <w:rsid w:val="00A33D9F"/>
    <w:rsid w:val="00A37229"/>
    <w:rsid w:val="00A418C9"/>
    <w:rsid w:val="00A74C9B"/>
    <w:rsid w:val="00A93478"/>
    <w:rsid w:val="00A97FE7"/>
    <w:rsid w:val="00AA46CA"/>
    <w:rsid w:val="00AA7EFA"/>
    <w:rsid w:val="00AB61B3"/>
    <w:rsid w:val="00AC323A"/>
    <w:rsid w:val="00AD6357"/>
    <w:rsid w:val="00AD7F81"/>
    <w:rsid w:val="00AE4CA9"/>
    <w:rsid w:val="00AF2CBF"/>
    <w:rsid w:val="00AF367D"/>
    <w:rsid w:val="00AF45FD"/>
    <w:rsid w:val="00B35E2A"/>
    <w:rsid w:val="00B4263D"/>
    <w:rsid w:val="00B56F49"/>
    <w:rsid w:val="00B7442A"/>
    <w:rsid w:val="00B97002"/>
    <w:rsid w:val="00BB2F70"/>
    <w:rsid w:val="00BB6CF4"/>
    <w:rsid w:val="00BC14C3"/>
    <w:rsid w:val="00BC1ABE"/>
    <w:rsid w:val="00BD2F20"/>
    <w:rsid w:val="00BD4F62"/>
    <w:rsid w:val="00BE4AFD"/>
    <w:rsid w:val="00C00590"/>
    <w:rsid w:val="00C04647"/>
    <w:rsid w:val="00C12551"/>
    <w:rsid w:val="00C211CD"/>
    <w:rsid w:val="00C25328"/>
    <w:rsid w:val="00C3744D"/>
    <w:rsid w:val="00C43A84"/>
    <w:rsid w:val="00C64137"/>
    <w:rsid w:val="00C658E4"/>
    <w:rsid w:val="00C7266E"/>
    <w:rsid w:val="00C754F1"/>
    <w:rsid w:val="00C76C66"/>
    <w:rsid w:val="00C82DF9"/>
    <w:rsid w:val="00C87190"/>
    <w:rsid w:val="00CA1564"/>
    <w:rsid w:val="00CA7C8A"/>
    <w:rsid w:val="00CB44E8"/>
    <w:rsid w:val="00CB7978"/>
    <w:rsid w:val="00CC1D12"/>
    <w:rsid w:val="00CE42E9"/>
    <w:rsid w:val="00D001E4"/>
    <w:rsid w:val="00D00AA8"/>
    <w:rsid w:val="00D02778"/>
    <w:rsid w:val="00D300F4"/>
    <w:rsid w:val="00D3344B"/>
    <w:rsid w:val="00D40175"/>
    <w:rsid w:val="00D55243"/>
    <w:rsid w:val="00D62F90"/>
    <w:rsid w:val="00D63E74"/>
    <w:rsid w:val="00D715C4"/>
    <w:rsid w:val="00D928FD"/>
    <w:rsid w:val="00DC79E3"/>
    <w:rsid w:val="00DE2D54"/>
    <w:rsid w:val="00E02BB0"/>
    <w:rsid w:val="00E03CE6"/>
    <w:rsid w:val="00E04947"/>
    <w:rsid w:val="00E13716"/>
    <w:rsid w:val="00E1631C"/>
    <w:rsid w:val="00E266FF"/>
    <w:rsid w:val="00E27661"/>
    <w:rsid w:val="00E47DB3"/>
    <w:rsid w:val="00E51F8B"/>
    <w:rsid w:val="00E5242A"/>
    <w:rsid w:val="00E53398"/>
    <w:rsid w:val="00E66AE2"/>
    <w:rsid w:val="00E74DA4"/>
    <w:rsid w:val="00E81B89"/>
    <w:rsid w:val="00E91432"/>
    <w:rsid w:val="00E91B5A"/>
    <w:rsid w:val="00EB4ED7"/>
    <w:rsid w:val="00ED6E45"/>
    <w:rsid w:val="00EE43E4"/>
    <w:rsid w:val="00F001EA"/>
    <w:rsid w:val="00F16B90"/>
    <w:rsid w:val="00F34F19"/>
    <w:rsid w:val="00F44A21"/>
    <w:rsid w:val="00F575F0"/>
    <w:rsid w:val="00F6664C"/>
    <w:rsid w:val="00F80AF1"/>
    <w:rsid w:val="00F8298C"/>
    <w:rsid w:val="00F90245"/>
    <w:rsid w:val="00F920D9"/>
    <w:rsid w:val="00F94781"/>
    <w:rsid w:val="00FA5388"/>
    <w:rsid w:val="00FA7281"/>
    <w:rsid w:val="00FB08E3"/>
    <w:rsid w:val="00FD397B"/>
    <w:rsid w:val="00FD4B01"/>
    <w:rsid w:val="00FD7CDC"/>
    <w:rsid w:val="00FE58E0"/>
    <w:rsid w:val="00FE74D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fill="f" fillcolor="white" stroke="f">
      <v:fill color="white" on="f"/>
      <v:stroke on="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pPr>
    </w:pPrDefault>
  </w:docDefaults>
  <w:latentStyles w:defLockedState="1" w:defUIPriority="99" w:defSemiHidden="0" w:defUnhideWhenUsed="0" w:defQFormat="0" w:count="371">
    <w:lsdException w:name="Normal" w:locked="0" w:uiPriority="0" w:qFormat="1"/>
    <w:lsdException w:name="heading 1" w:locked="0" w:uiPriority="1" w:qFormat="1"/>
    <w:lsdException w:name="heading 2" w:locked="0" w:semiHidden="1" w:uiPriority="1" w:unhideWhenUsed="1" w:qFormat="1"/>
    <w:lsdException w:name="heading 3" w:locked="0" w:semiHidden="1" w:uiPriority="1" w:unhideWhenUsed="1" w:qFormat="1"/>
    <w:lsdException w:name="heading 4" w:locked="0" w:semiHidden="1" w:uiPriority="1"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0" w:semiHidden="1" w:uiPriority="39" w:unhideWhenUsed="1" w:qFormat="1"/>
    <w:lsdException w:name="toc 2" w:locked="0" w:semiHidden="1" w:uiPriority="39" w:unhideWhenUsed="1" w:qFormat="1"/>
    <w:lsdException w:name="toc 3" w:locked="0" w:semiHidden="1" w:uiPriority="39" w:unhideWhenUsed="1" w:qFormat="1"/>
    <w:lsdException w:name="toc 4" w:locked="0" w:semiHidden="1" w:uiPriority="39" w:unhideWhenUsed="1" w:qFormat="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locked="0" w:semiHidden="1" w:uiPriority="7" w:unhideWhenUsed="1" w:qFormat="1"/>
    <w:lsdException w:name="annotation text" w:semiHidden="1" w:unhideWhenUsed="1"/>
    <w:lsdException w:name="header" w:locked="0" w:semiHidden="1" w:unhideWhenUsed="1" w:qFormat="1"/>
    <w:lsdException w:name="footer" w:locked="0" w:semiHidden="1" w:unhideWhenUsed="1" w:qFormat="1"/>
    <w:lsdException w:name="index heading" w:semiHidden="1" w:unhideWhenUsed="1"/>
    <w:lsdException w:name="caption" w:locked="0" w:semiHidden="1" w:uiPriority="3" w:unhideWhenUsed="1" w:qFormat="1"/>
    <w:lsdException w:name="table of figures" w:locked="0" w:semiHidden="1" w:unhideWhenUsed="1"/>
    <w:lsdException w:name="envelope address" w:semiHidden="1" w:unhideWhenUsed="1"/>
    <w:lsdException w:name="envelope return" w:semiHidden="1" w:unhideWhenUsed="1"/>
    <w:lsdException w:name="footnote reference" w:locked="0" w:semiHidden="1" w:uiPriority="8"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locked="0"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Salutation" w:semiHidden="1" w:unhideWhenUsed="1"/>
    <w:lsdException w:name="Date" w:semiHidden="1" w:unhideWhenUsed="1" w:qFormat="1"/>
    <w:lsdException w:name="Body Text First Indent" w:semiHidden="1" w:unhideWhenUsed="1" w:qFormat="1"/>
    <w:lsdException w:name="Body Text First Indent 2" w:semiHidden="1" w:unhideWhenUsed="1"/>
    <w:lsdException w:name="Note Heading" w:semiHidden="1" w:uiPriority="13" w:unhideWhenUsed="1" w:qFormat="1"/>
    <w:lsdException w:name="Body Text 2" w:semiHidden="1" w:unhideWhenUsed="1"/>
    <w:lsdException w:name="Body Text 3" w:semiHidden="1" w:unhideWhenUsed="1"/>
    <w:lsdException w:name="Body Text Indent 2" w:semiHidden="1" w:unhideWhenUsed="1"/>
    <w:lsdException w:name="Body Text Indent 3" w:semiHidden="1" w:unhideWhenUsed="1" w:qFormat="1"/>
    <w:lsdException w:name="Block Text" w:semiHidden="1" w:unhideWhenUsed="1"/>
    <w:lsdException w:name="Hyperlink" w:locked="0" w:semiHidden="1" w:unhideWhenUsed="1" w:qFormat="1"/>
    <w:lsdException w:name="FollowedHyperlink" w:semiHidden="1" w:unhideWhenUsed="1"/>
    <w:lsdException w:name="Strong" w:uiPriority="22" w:qFormat="1"/>
    <w:lsdException w:name="Emphasis" w:locked="0" w:uiPriority="20" w:qFormat="1"/>
    <w:lsdException w:name="Document Map" w:semiHidden="1" w:unhideWhenUsed="1"/>
    <w:lsdException w:name="Plain Text" w:semiHidden="1" w:unhideWhenUsed="1"/>
    <w:lsdException w:name="E-mail Signature" w:semiHidden="1" w:unhideWhenUsed="1"/>
    <w:lsdException w:name="HTML Top of Form" w:locked="0" w:semiHidden="1" w:unhideWhenUsed="1"/>
    <w:lsdException w:name="HTML Bottom of Form" w:locked="0"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locked="0" w:semiHidden="1" w:unhideWhenUsed="1"/>
    <w:lsdException w:name="annotation subject"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locked="0"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locked="0" w:uiPriority="34" w:qFormat="1"/>
    <w:lsdException w:name="Quote" w:locked="0" w:uiPriority="14"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qFormat="1"/>
    <w:lsdException w:name="Subtle Reference" w:uiPriority="31" w:qFormat="1"/>
    <w:lsdException w:name="Intense Reference" w:uiPriority="32"/>
    <w:lsdException w:name="Book Title" w:uiPriority="33"/>
    <w:lsdException w:name="Bibliography" w:semiHidden="1" w:uiPriority="37" w:unhideWhenUsed="1"/>
    <w:lsdException w:name="TOC Heading" w:locked="0" w:semiHidden="1" w:uiPriority="39" w:unhideWhenUsed="1" w:qFormat="1"/>
    <w:lsdException w:name="Plain Table 1" w:locked="0" w:uiPriority="41"/>
    <w:lsdException w:name="Plain Table 2" w:locked="0" w:uiPriority="42"/>
    <w:lsdException w:name="Plain Table 3" w:locked="0" w:uiPriority="43"/>
    <w:lsdException w:name="Plain Table 4" w:locked="0" w:uiPriority="44"/>
    <w:lsdException w:name="Plain Table 5" w:locked="0" w:uiPriority="45"/>
    <w:lsdException w:name="Grid Table Light" w:locked="0" w:uiPriority="40"/>
    <w:lsdException w:name="Grid Table 1 Light" w:locked="0" w:uiPriority="46"/>
    <w:lsdException w:name="Grid Table 2" w:locked="0" w:uiPriority="47"/>
    <w:lsdException w:name="Grid Table 3" w:locked="0" w:uiPriority="48"/>
    <w:lsdException w:name="Grid Table 4" w:locked="0" w:uiPriority="49"/>
    <w:lsdException w:name="Grid Table 5 Dark" w:locked="0" w:uiPriority="50"/>
    <w:lsdException w:name="Grid Table 6 Colorful" w:locked="0" w:uiPriority="51"/>
    <w:lsdException w:name="Grid Table 7 Colorful" w:locked="0" w:uiPriority="52"/>
    <w:lsdException w:name="Grid Table 1 Light Accent 1" w:locked="0" w:uiPriority="46"/>
    <w:lsdException w:name="Grid Table 2 Accent 1" w:locked="0" w:uiPriority="47"/>
    <w:lsdException w:name="Grid Table 3 Accent 1" w:locked="0" w:uiPriority="48"/>
    <w:lsdException w:name="Grid Table 4 Accent 1" w:locked="0" w:uiPriority="49"/>
    <w:lsdException w:name="Grid Table 5 Dark Accent 1" w:locked="0" w:uiPriority="50"/>
    <w:lsdException w:name="Grid Table 6 Colorful Accent 1" w:locked="0" w:uiPriority="51"/>
    <w:lsdException w:name="Grid Table 7 Colorful Accent 1" w:locked="0" w:uiPriority="52"/>
    <w:lsdException w:name="Grid Table 1 Light Accent 2" w:locked="0" w:uiPriority="46"/>
    <w:lsdException w:name="Grid Table 2 Accent 2" w:locked="0" w:uiPriority="47"/>
    <w:lsdException w:name="Grid Table 3 Accent 2" w:locked="0" w:uiPriority="48"/>
    <w:lsdException w:name="Grid Table 4 Accent 2" w:locked="0" w:uiPriority="49"/>
    <w:lsdException w:name="Grid Table 5 Dark Accent 2" w:locked="0" w:uiPriority="50"/>
    <w:lsdException w:name="Grid Table 6 Colorful Accent 2" w:locked="0" w:uiPriority="51"/>
    <w:lsdException w:name="Grid Table 7 Colorful Accent 2" w:locked="0" w:uiPriority="52"/>
    <w:lsdException w:name="Grid Table 1 Light Accent 3" w:locked="0" w:uiPriority="46"/>
    <w:lsdException w:name="Grid Table 2 Accent 3" w:locked="0" w:uiPriority="47"/>
    <w:lsdException w:name="Grid Table 3 Accent 3" w:locked="0" w:uiPriority="48"/>
    <w:lsdException w:name="Grid Table 4 Accent 3" w:locked="0" w:uiPriority="49"/>
    <w:lsdException w:name="Grid Table 5 Dark Accent 3" w:locked="0" w:uiPriority="50"/>
    <w:lsdException w:name="Grid Table 6 Colorful Accent 3" w:locked="0" w:uiPriority="51"/>
    <w:lsdException w:name="Grid Table 7 Colorful Accent 3" w:locked="0" w:uiPriority="52"/>
    <w:lsdException w:name="Grid Table 1 Light Accent 4" w:locked="0" w:uiPriority="46"/>
    <w:lsdException w:name="Grid Table 2 Accent 4" w:locked="0" w:uiPriority="47"/>
    <w:lsdException w:name="Grid Table 3 Accent 4" w:locked="0" w:uiPriority="48"/>
    <w:lsdException w:name="Grid Table 4 Accent 4" w:locked="0" w:uiPriority="49"/>
    <w:lsdException w:name="Grid Table 5 Dark Accent 4" w:locked="0" w:uiPriority="50"/>
    <w:lsdException w:name="Grid Table 6 Colorful Accent 4" w:locked="0" w:uiPriority="51"/>
    <w:lsdException w:name="Grid Table 7 Colorful Accent 4" w:locked="0" w:uiPriority="52"/>
    <w:lsdException w:name="Grid Table 1 Light Accent 5" w:locked="0" w:uiPriority="46"/>
    <w:lsdException w:name="Grid Table 2 Accent 5" w:locked="0" w:uiPriority="47"/>
    <w:lsdException w:name="Grid Table 3 Accent 5" w:locked="0" w:uiPriority="48"/>
    <w:lsdException w:name="Grid Table 4 Accent 5" w:locked="0" w:uiPriority="49"/>
    <w:lsdException w:name="Grid Table 5 Dark Accent 5" w:locked="0" w:uiPriority="50"/>
    <w:lsdException w:name="Grid Table 6 Colorful Accent 5" w:locked="0" w:uiPriority="51"/>
    <w:lsdException w:name="Grid Table 7 Colorful Accent 5" w:locked="0" w:uiPriority="52"/>
    <w:lsdException w:name="Grid Table 1 Light Accent 6" w:locked="0" w:uiPriority="46"/>
    <w:lsdException w:name="Grid Table 2 Accent 6" w:locked="0" w:uiPriority="47"/>
    <w:lsdException w:name="Grid Table 3 Accent 6" w:locked="0" w:uiPriority="48"/>
    <w:lsdException w:name="Grid Table 4 Accent 6" w:locked="0" w:uiPriority="49"/>
    <w:lsdException w:name="Grid Table 5 Dark Accent 6" w:locked="0" w:uiPriority="50"/>
    <w:lsdException w:name="Grid Table 6 Colorful Accent 6" w:locked="0" w:uiPriority="51"/>
    <w:lsdException w:name="Grid Table 7 Colorful Accent 6" w:locked="0" w:uiPriority="52"/>
    <w:lsdException w:name="List Table 1 Light" w:locked="0" w:uiPriority="46"/>
    <w:lsdException w:name="List Table 2" w:locked="0" w:uiPriority="47"/>
    <w:lsdException w:name="List Table 3" w:locked="0" w:uiPriority="48"/>
    <w:lsdException w:name="List Table 4" w:locked="0" w:uiPriority="49"/>
    <w:lsdException w:name="List Table 5 Dark" w:locked="0" w:uiPriority="50"/>
    <w:lsdException w:name="List Table 6 Colorful" w:locked="0" w:uiPriority="51"/>
    <w:lsdException w:name="List Table 7 Colorful" w:locked="0" w:uiPriority="52"/>
    <w:lsdException w:name="List Table 1 Light Accent 1" w:locked="0" w:uiPriority="46"/>
    <w:lsdException w:name="List Table 2 Accent 1" w:locked="0" w:uiPriority="47"/>
    <w:lsdException w:name="List Table 3 Accent 1" w:locked="0" w:uiPriority="48"/>
    <w:lsdException w:name="List Table 4 Accent 1" w:locked="0" w:uiPriority="49"/>
    <w:lsdException w:name="List Table 5 Dark Accent 1" w:locked="0" w:uiPriority="50"/>
    <w:lsdException w:name="List Table 6 Colorful Accent 1" w:locked="0" w:uiPriority="51"/>
    <w:lsdException w:name="List Table 7 Colorful Accent 1" w:locked="0" w:uiPriority="52"/>
    <w:lsdException w:name="List Table 1 Light Accent 2" w:locked="0" w:uiPriority="46"/>
    <w:lsdException w:name="List Table 2 Accent 2" w:locked="0" w:uiPriority="47"/>
    <w:lsdException w:name="List Table 3 Accent 2" w:locked="0" w:uiPriority="48"/>
    <w:lsdException w:name="List Table 4 Accent 2" w:locked="0" w:uiPriority="49"/>
    <w:lsdException w:name="List Table 5 Dark Accent 2" w:locked="0" w:uiPriority="50"/>
    <w:lsdException w:name="List Table 6 Colorful Accent 2" w:locked="0" w:uiPriority="51"/>
    <w:lsdException w:name="List Table 7 Colorful Accent 2" w:locked="0" w:uiPriority="52"/>
    <w:lsdException w:name="List Table 1 Light Accent 3" w:locked="0" w:uiPriority="46"/>
    <w:lsdException w:name="List Table 2 Accent 3" w:locked="0" w:uiPriority="47"/>
    <w:lsdException w:name="List Table 3 Accent 3" w:locked="0" w:uiPriority="48"/>
    <w:lsdException w:name="List Table 4 Accent 3" w:locked="0" w:uiPriority="49"/>
    <w:lsdException w:name="List Table 5 Dark Accent 3" w:locked="0" w:uiPriority="50"/>
    <w:lsdException w:name="List Table 6 Colorful Accent 3" w:locked="0" w:uiPriority="51"/>
    <w:lsdException w:name="List Table 7 Colorful Accent 3" w:locked="0" w:uiPriority="52"/>
    <w:lsdException w:name="List Table 1 Light Accent 4" w:locked="0" w:uiPriority="46"/>
    <w:lsdException w:name="List Table 2 Accent 4" w:locked="0" w:uiPriority="47"/>
    <w:lsdException w:name="List Table 3 Accent 4" w:locked="0" w:uiPriority="48"/>
    <w:lsdException w:name="List Table 4 Accent 4" w:locked="0" w:uiPriority="49"/>
    <w:lsdException w:name="List Table 5 Dark Accent 4" w:locked="0" w:uiPriority="50"/>
    <w:lsdException w:name="List Table 6 Colorful Accent 4" w:locked="0" w:uiPriority="51"/>
    <w:lsdException w:name="List Table 7 Colorful Accent 4" w:locked="0" w:uiPriority="52"/>
    <w:lsdException w:name="List Table 1 Light Accent 5" w:locked="0" w:uiPriority="46"/>
    <w:lsdException w:name="List Table 2 Accent 5" w:locked="0" w:uiPriority="47"/>
    <w:lsdException w:name="List Table 3 Accent 5" w:locked="0" w:uiPriority="48"/>
    <w:lsdException w:name="List Table 4 Accent 5" w:locked="0" w:uiPriority="49"/>
    <w:lsdException w:name="List Table 5 Dark Accent 5" w:locked="0" w:uiPriority="50"/>
    <w:lsdException w:name="List Table 6 Colorful Accent 5" w:locked="0" w:uiPriority="51"/>
    <w:lsdException w:name="List Table 7 Colorful Accent 5" w:locked="0" w:uiPriority="52"/>
    <w:lsdException w:name="List Table 1 Light Accent 6" w:locked="0" w:uiPriority="46"/>
    <w:lsdException w:name="List Table 2 Accent 6" w:locked="0" w:uiPriority="47"/>
    <w:lsdException w:name="List Table 3 Accent 6" w:locked="0" w:uiPriority="48"/>
    <w:lsdException w:name="List Table 4 Accent 6" w:locked="0" w:uiPriority="49"/>
    <w:lsdException w:name="List Table 5 Dark Accent 6" w:locked="0" w:uiPriority="50"/>
    <w:lsdException w:name="List Table 6 Colorful Accent 6" w:locked="0" w:uiPriority="51"/>
    <w:lsdException w:name="List Table 7 Colorful Accent 6" w:locked="0" w:uiPriority="52"/>
  </w:latentStyles>
  <w:style w:type="paragraph" w:default="1" w:styleId="Normal">
    <w:name w:val="Normal"/>
    <w:qFormat/>
    <w:rsid w:val="00C7266E"/>
    <w:pPr>
      <w:spacing w:line="300" w:lineRule="atLeast"/>
    </w:pPr>
  </w:style>
  <w:style w:type="paragraph" w:styleId="Heading1">
    <w:name w:val="heading 1"/>
    <w:basedOn w:val="Normal"/>
    <w:next w:val="Left05Indent"/>
    <w:link w:val="Heading1Char"/>
    <w:autoRedefine/>
    <w:uiPriority w:val="1"/>
    <w:qFormat/>
    <w:rsid w:val="00FD7CDC"/>
    <w:pPr>
      <w:keepNext/>
      <w:keepLines/>
      <w:numPr>
        <w:numId w:val="41"/>
      </w:numPr>
      <w:pBdr>
        <w:bottom w:val="single" w:sz="8" w:space="1" w:color="A6A6A6" w:themeColor="background1" w:themeShade="A6"/>
      </w:pBdr>
      <w:spacing w:after="120" w:line="380" w:lineRule="atLeast"/>
      <w:outlineLvl w:val="0"/>
    </w:pPr>
    <w:rPr>
      <w:rFonts w:asciiTheme="majorHAnsi" w:eastAsiaTheme="majorEastAsia" w:hAnsiTheme="majorHAnsi" w:cstheme="majorBidi"/>
      <w:b/>
      <w:bCs/>
      <w:color w:val="1396D8"/>
      <w:sz w:val="32"/>
      <w:szCs w:val="28"/>
    </w:rPr>
  </w:style>
  <w:style w:type="paragraph" w:styleId="Heading2">
    <w:name w:val="heading 2"/>
    <w:next w:val="Normal"/>
    <w:link w:val="Heading2Char"/>
    <w:autoRedefine/>
    <w:uiPriority w:val="1"/>
    <w:qFormat/>
    <w:rsid w:val="00F80AF1"/>
    <w:pPr>
      <w:keepNext/>
      <w:keepLines/>
      <w:spacing w:before="200" w:after="0"/>
      <w:outlineLvl w:val="1"/>
    </w:pPr>
    <w:rPr>
      <w:rFonts w:eastAsiaTheme="majorEastAsia" w:cstheme="majorBidi"/>
      <w:b/>
      <w:color w:val="1396D8"/>
      <w:sz w:val="28"/>
      <w:szCs w:val="26"/>
    </w:rPr>
  </w:style>
  <w:style w:type="paragraph" w:styleId="Heading3">
    <w:name w:val="heading 3"/>
    <w:basedOn w:val="Heading2"/>
    <w:next w:val="Normal"/>
    <w:link w:val="Heading3Char"/>
    <w:autoRedefine/>
    <w:uiPriority w:val="1"/>
    <w:qFormat/>
    <w:rsid w:val="00FD7CDC"/>
    <w:pPr>
      <w:outlineLvl w:val="2"/>
    </w:pPr>
    <w:rPr>
      <w:rFonts w:asciiTheme="majorHAnsi" w:hAnsiTheme="majorHAnsi"/>
      <w:bCs/>
      <w:i/>
      <w:color w:val="595959" w:themeColor="text1" w:themeTint="A6"/>
      <w:sz w:val="24"/>
    </w:rPr>
  </w:style>
  <w:style w:type="paragraph" w:styleId="Heading4">
    <w:name w:val="heading 4"/>
    <w:basedOn w:val="Heading3"/>
    <w:next w:val="Normal"/>
    <w:link w:val="Heading4Char"/>
    <w:autoRedefine/>
    <w:uiPriority w:val="1"/>
    <w:qFormat/>
    <w:rsid w:val="00112A69"/>
    <w:pPr>
      <w:numPr>
        <w:ilvl w:val="3"/>
      </w:numPr>
      <w:outlineLvl w:val="3"/>
    </w:pPr>
    <w:rPr>
      <w:rFonts w:asciiTheme="minorHAnsi" w:hAnsiTheme="minorHAnsi"/>
      <w:bCs w:val="0"/>
      <w:iCs/>
    </w:rPr>
  </w:style>
  <w:style w:type="paragraph" w:styleId="Heading5">
    <w:name w:val="heading 5"/>
    <w:basedOn w:val="Heading4"/>
    <w:next w:val="Normal"/>
    <w:link w:val="Heading5Char"/>
    <w:uiPriority w:val="9"/>
    <w:semiHidden/>
    <w:locked/>
    <w:rsid w:val="00112A69"/>
    <w:pPr>
      <w:numPr>
        <w:ilvl w:val="4"/>
      </w:numPr>
      <w:outlineLvl w:val="4"/>
    </w:pPr>
    <w:rPr>
      <w:sz w:val="20"/>
    </w:rPr>
  </w:style>
  <w:style w:type="paragraph" w:styleId="Heading6">
    <w:name w:val="heading 6"/>
    <w:basedOn w:val="Heading5"/>
    <w:next w:val="Normal"/>
    <w:link w:val="Heading6Char"/>
    <w:autoRedefine/>
    <w:uiPriority w:val="9"/>
    <w:semiHidden/>
    <w:locked/>
    <w:rsid w:val="00112A69"/>
    <w:pPr>
      <w:numPr>
        <w:ilvl w:val="5"/>
      </w:numPr>
      <w:outlineLvl w:val="5"/>
    </w:pPr>
    <w:rPr>
      <w:iCs w:val="0"/>
      <w:color w:val="666666"/>
    </w:rPr>
  </w:style>
  <w:style w:type="paragraph" w:styleId="Heading7">
    <w:name w:val="heading 7"/>
    <w:basedOn w:val="Normal"/>
    <w:next w:val="Normal"/>
    <w:link w:val="Heading7Char"/>
    <w:uiPriority w:val="9"/>
    <w:semiHidden/>
    <w:locked/>
    <w:rsid w:val="00112A69"/>
    <w:pPr>
      <w:keepNext/>
      <w:keepLines/>
      <w:numPr>
        <w:ilvl w:val="6"/>
        <w:numId w:val="33"/>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locked/>
    <w:rsid w:val="00112A69"/>
    <w:pPr>
      <w:keepNext/>
      <w:keepLines/>
      <w:numPr>
        <w:ilvl w:val="7"/>
        <w:numId w:val="33"/>
      </w:numPr>
      <w:spacing w:before="200" w:after="0"/>
      <w:outlineLvl w:val="7"/>
    </w:pPr>
    <w:rPr>
      <w:rFonts w:asciiTheme="majorHAnsi" w:eastAsiaTheme="majorEastAsia" w:hAnsiTheme="majorHAnsi" w:cstheme="majorBidi"/>
      <w:color w:val="404040" w:themeColor="text1" w:themeTint="BF"/>
    </w:rPr>
  </w:style>
  <w:style w:type="paragraph" w:styleId="Heading9">
    <w:name w:val="heading 9"/>
    <w:basedOn w:val="Normal"/>
    <w:next w:val="Normal"/>
    <w:link w:val="Heading9Char"/>
    <w:uiPriority w:val="9"/>
    <w:semiHidden/>
    <w:locked/>
    <w:rsid w:val="00112A69"/>
    <w:pPr>
      <w:keepNext/>
      <w:keepLines/>
      <w:numPr>
        <w:ilvl w:val="8"/>
        <w:numId w:val="33"/>
      </w:numPr>
      <w:spacing w:before="200" w:after="0"/>
      <w:outlineLvl w:val="8"/>
    </w:pPr>
    <w:rPr>
      <w:rFonts w:asciiTheme="majorHAnsi" w:eastAsiaTheme="majorEastAsia" w:hAnsiTheme="majorHAnsi" w:cstheme="majorBidi"/>
      <w:i/>
      <w:iCs/>
      <w:color w:val="404040" w:themeColor="text1" w:themeTint="BF"/>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sid w:val="00FD7CDC"/>
    <w:rPr>
      <w:rFonts w:asciiTheme="majorHAnsi" w:eastAsiaTheme="majorEastAsia" w:hAnsiTheme="majorHAnsi" w:cstheme="majorBidi"/>
      <w:b/>
      <w:bCs/>
      <w:color w:val="1396D8"/>
      <w:sz w:val="32"/>
      <w:szCs w:val="28"/>
    </w:rPr>
  </w:style>
  <w:style w:type="paragraph" w:styleId="NoSpacing">
    <w:name w:val="No Spacing"/>
    <w:uiPriority w:val="2"/>
    <w:qFormat/>
    <w:rsid w:val="00112A69"/>
    <w:pPr>
      <w:spacing w:after="0"/>
      <w:jc w:val="both"/>
    </w:pPr>
  </w:style>
  <w:style w:type="character" w:customStyle="1" w:styleId="Heading2Char">
    <w:name w:val="Heading 2 Char"/>
    <w:basedOn w:val="DefaultParagraphFont"/>
    <w:link w:val="Heading2"/>
    <w:uiPriority w:val="1"/>
    <w:rsid w:val="00F80AF1"/>
    <w:rPr>
      <w:rFonts w:eastAsiaTheme="majorEastAsia" w:cstheme="majorBidi"/>
      <w:b/>
      <w:color w:val="1396D8"/>
      <w:sz w:val="28"/>
      <w:szCs w:val="26"/>
    </w:rPr>
  </w:style>
  <w:style w:type="character" w:customStyle="1" w:styleId="Heading3Char">
    <w:name w:val="Heading 3 Char"/>
    <w:basedOn w:val="DefaultParagraphFont"/>
    <w:link w:val="Heading3"/>
    <w:uiPriority w:val="1"/>
    <w:rsid w:val="00FD7CDC"/>
    <w:rPr>
      <w:rFonts w:asciiTheme="majorHAnsi" w:eastAsiaTheme="majorEastAsia" w:hAnsiTheme="majorHAnsi" w:cstheme="majorBidi"/>
      <w:b/>
      <w:bCs/>
      <w:i/>
      <w:color w:val="595959" w:themeColor="text1" w:themeTint="A6"/>
      <w:sz w:val="24"/>
      <w:szCs w:val="26"/>
    </w:rPr>
  </w:style>
  <w:style w:type="character" w:customStyle="1" w:styleId="Heading4Char">
    <w:name w:val="Heading 4 Char"/>
    <w:basedOn w:val="DefaultParagraphFont"/>
    <w:link w:val="Heading4"/>
    <w:uiPriority w:val="1"/>
    <w:rsid w:val="00E03CE6"/>
    <w:rPr>
      <w:rFonts w:eastAsiaTheme="majorEastAsia" w:cstheme="majorBidi"/>
      <w:b/>
      <w:i/>
      <w:iCs/>
      <w:color w:val="595959" w:themeColor="text1" w:themeTint="A6"/>
      <w:sz w:val="24"/>
      <w:szCs w:val="26"/>
    </w:rPr>
  </w:style>
  <w:style w:type="character" w:customStyle="1" w:styleId="Heading5Char">
    <w:name w:val="Heading 5 Char"/>
    <w:basedOn w:val="DefaultParagraphFont"/>
    <w:link w:val="Heading5"/>
    <w:uiPriority w:val="9"/>
    <w:semiHidden/>
    <w:rsid w:val="00D55243"/>
    <w:rPr>
      <w:rFonts w:eastAsiaTheme="majorEastAsia" w:cstheme="majorBidi"/>
      <w:b/>
      <w:i/>
      <w:iCs/>
      <w:color w:val="595959" w:themeColor="text1" w:themeTint="A6"/>
      <w:szCs w:val="26"/>
    </w:rPr>
  </w:style>
  <w:style w:type="character" w:customStyle="1" w:styleId="Heading6Char">
    <w:name w:val="Heading 6 Char"/>
    <w:basedOn w:val="DefaultParagraphFont"/>
    <w:link w:val="Heading6"/>
    <w:uiPriority w:val="9"/>
    <w:semiHidden/>
    <w:rsid w:val="00D55243"/>
    <w:rPr>
      <w:rFonts w:eastAsiaTheme="majorEastAsia" w:cstheme="majorBidi"/>
      <w:b/>
      <w:i/>
      <w:color w:val="666666"/>
      <w:szCs w:val="26"/>
    </w:rPr>
  </w:style>
  <w:style w:type="character" w:customStyle="1" w:styleId="Heading7Char">
    <w:name w:val="Heading 7 Char"/>
    <w:basedOn w:val="DefaultParagraphFont"/>
    <w:link w:val="Heading7"/>
    <w:uiPriority w:val="9"/>
    <w:semiHidden/>
    <w:rsid w:val="00D55243"/>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D55243"/>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9"/>
    <w:semiHidden/>
    <w:rsid w:val="00D55243"/>
    <w:rPr>
      <w:rFonts w:asciiTheme="majorHAnsi" w:eastAsiaTheme="majorEastAsia" w:hAnsiTheme="majorHAnsi" w:cstheme="majorBidi"/>
      <w:i/>
      <w:iCs/>
      <w:color w:val="404040" w:themeColor="text1" w:themeTint="BF"/>
    </w:rPr>
  </w:style>
  <w:style w:type="paragraph" w:styleId="Caption">
    <w:name w:val="caption"/>
    <w:basedOn w:val="Normal"/>
    <w:next w:val="Normal"/>
    <w:autoRedefine/>
    <w:uiPriority w:val="3"/>
    <w:qFormat/>
    <w:rsid w:val="005170D3"/>
    <w:pPr>
      <w:keepNext/>
      <w:spacing w:before="140" w:after="80" w:line="240" w:lineRule="auto"/>
    </w:pPr>
    <w:rPr>
      <w:b/>
      <w:bCs/>
      <w:color w:val="1396D8"/>
      <w:szCs w:val="18"/>
    </w:rPr>
  </w:style>
  <w:style w:type="paragraph" w:styleId="Header">
    <w:name w:val="header"/>
    <w:basedOn w:val="Normal"/>
    <w:link w:val="HeaderChar"/>
    <w:autoRedefine/>
    <w:uiPriority w:val="99"/>
    <w:qFormat/>
    <w:rsid w:val="00041909"/>
    <w:pPr>
      <w:pBdr>
        <w:bottom w:val="single" w:sz="6" w:space="1" w:color="666666"/>
      </w:pBdr>
      <w:tabs>
        <w:tab w:val="center" w:pos="4680"/>
        <w:tab w:val="right" w:pos="9360"/>
      </w:tabs>
      <w:spacing w:after="0" w:line="240" w:lineRule="auto"/>
      <w:jc w:val="right"/>
    </w:pPr>
    <w:rPr>
      <w:i/>
    </w:rPr>
  </w:style>
  <w:style w:type="character" w:customStyle="1" w:styleId="HeaderChar">
    <w:name w:val="Header Char"/>
    <w:basedOn w:val="DefaultParagraphFont"/>
    <w:link w:val="Header"/>
    <w:uiPriority w:val="99"/>
    <w:rsid w:val="00041909"/>
    <w:rPr>
      <w:i/>
    </w:rPr>
  </w:style>
  <w:style w:type="paragraph" w:styleId="Footer">
    <w:name w:val="footer"/>
    <w:basedOn w:val="Normal"/>
    <w:link w:val="FooterChar"/>
    <w:autoRedefine/>
    <w:uiPriority w:val="99"/>
    <w:qFormat/>
    <w:rsid w:val="00760677"/>
    <w:pPr>
      <w:tabs>
        <w:tab w:val="center" w:pos="2160"/>
        <w:tab w:val="right" w:pos="9720"/>
      </w:tabs>
      <w:spacing w:after="0" w:line="240" w:lineRule="auto"/>
      <w:ind w:left="3600" w:hanging="3600"/>
    </w:pPr>
    <w:rPr>
      <w:sz w:val="16"/>
    </w:rPr>
  </w:style>
  <w:style w:type="character" w:customStyle="1" w:styleId="FooterChar">
    <w:name w:val="Footer Char"/>
    <w:basedOn w:val="DefaultParagraphFont"/>
    <w:link w:val="Footer"/>
    <w:uiPriority w:val="99"/>
    <w:rsid w:val="00760677"/>
    <w:rPr>
      <w:sz w:val="16"/>
    </w:rPr>
  </w:style>
  <w:style w:type="paragraph" w:styleId="NoteHeading">
    <w:name w:val="Note Heading"/>
    <w:aliases w:val="Note 1"/>
    <w:basedOn w:val="Normal"/>
    <w:next w:val="Normal"/>
    <w:link w:val="NoteHeadingChar"/>
    <w:uiPriority w:val="13"/>
    <w:qFormat/>
    <w:locked/>
    <w:rsid w:val="004C277B"/>
    <w:pPr>
      <w:pBdr>
        <w:top w:val="single" w:sz="18" w:space="6" w:color="C4ECFF" w:themeColor="accent1" w:themeTint="33"/>
        <w:left w:val="single" w:sz="18" w:space="10" w:color="C4ECFF" w:themeColor="accent1" w:themeTint="33"/>
        <w:bottom w:val="single" w:sz="18" w:space="6" w:color="C4ECFF" w:themeColor="accent1" w:themeTint="33"/>
        <w:right w:val="single" w:sz="18" w:space="10" w:color="C4ECFF" w:themeColor="accent1" w:themeTint="33"/>
      </w:pBdr>
      <w:shd w:val="clear" w:color="auto" w:fill="C4ECFF" w:themeFill="accent1" w:themeFillTint="33"/>
      <w:spacing w:before="120" w:after="120" w:line="240" w:lineRule="auto"/>
      <w:ind w:left="936" w:right="216"/>
      <w:jc w:val="both"/>
    </w:pPr>
    <w:rPr>
      <w:i/>
      <w:color w:val="0096D7" w:themeColor="accent1"/>
    </w:rPr>
  </w:style>
  <w:style w:type="character" w:customStyle="1" w:styleId="NoteHeadingChar">
    <w:name w:val="Note Heading Char"/>
    <w:aliases w:val="Note 1 Char"/>
    <w:basedOn w:val="DefaultParagraphFont"/>
    <w:link w:val="NoteHeading"/>
    <w:uiPriority w:val="13"/>
    <w:rsid w:val="004C277B"/>
    <w:rPr>
      <w:i/>
      <w:color w:val="0096D7" w:themeColor="accent1"/>
      <w:szCs w:val="22"/>
      <w:shd w:val="clear" w:color="auto" w:fill="C4ECFF" w:themeFill="accent1" w:themeFillTint="33"/>
    </w:rPr>
  </w:style>
  <w:style w:type="character" w:styleId="PageNumber">
    <w:name w:val="page number"/>
    <w:uiPriority w:val="99"/>
    <w:semiHidden/>
    <w:locked/>
    <w:rsid w:val="00112A69"/>
    <w:rPr>
      <w:rFonts w:eastAsiaTheme="minorEastAsia" w:cs="Arial"/>
      <w:sz w:val="16"/>
      <w:szCs w:val="16"/>
    </w:rPr>
  </w:style>
  <w:style w:type="character" w:styleId="Hyperlink">
    <w:name w:val="Hyperlink"/>
    <w:basedOn w:val="DefaultParagraphFont"/>
    <w:uiPriority w:val="99"/>
    <w:qFormat/>
    <w:rsid w:val="00677C5F"/>
    <w:rPr>
      <w:rFonts w:asciiTheme="minorHAnsi" w:hAnsiTheme="minorHAnsi"/>
      <w:color w:val="1396D8"/>
      <w:u w:val="single"/>
    </w:rPr>
  </w:style>
  <w:style w:type="paragraph" w:customStyle="1" w:styleId="Link">
    <w:name w:val="Link"/>
    <w:basedOn w:val="Normal"/>
    <w:link w:val="LinkChar"/>
    <w:autoRedefine/>
    <w:uiPriority w:val="11"/>
    <w:qFormat/>
    <w:rsid w:val="00112A69"/>
    <w:pPr>
      <w:spacing w:after="0" w:line="240" w:lineRule="auto"/>
    </w:pPr>
    <w:rPr>
      <w:rFonts w:eastAsia="Times New Roman" w:cs="Times New Roman"/>
      <w:color w:val="1396D8"/>
      <w:szCs w:val="24"/>
      <w:u w:val="single"/>
    </w:rPr>
  </w:style>
  <w:style w:type="character" w:customStyle="1" w:styleId="LinkChar">
    <w:name w:val="Link Char"/>
    <w:basedOn w:val="DefaultParagraphFont"/>
    <w:link w:val="Link"/>
    <w:uiPriority w:val="11"/>
    <w:rsid w:val="00D55243"/>
    <w:rPr>
      <w:rFonts w:eastAsia="Times New Roman" w:cs="Times New Roman"/>
      <w:color w:val="1396D8"/>
      <w:szCs w:val="24"/>
      <w:u w:val="single"/>
    </w:rPr>
  </w:style>
  <w:style w:type="character" w:styleId="IntenseReference">
    <w:name w:val="Intense Reference"/>
    <w:aliases w:val="Note 1 Bold"/>
    <w:basedOn w:val="DefaultParagraphFont"/>
    <w:uiPriority w:val="32"/>
    <w:locked/>
    <w:rsid w:val="00112A69"/>
    <w:rPr>
      <w:rFonts w:asciiTheme="minorHAnsi" w:hAnsiTheme="minorHAnsi"/>
      <w:b/>
      <w:bCs/>
      <w:smallCaps/>
      <w:color w:val="BD732A" w:themeColor="accent2"/>
      <w:spacing w:val="5"/>
      <w:sz w:val="20"/>
      <w:u w:val="none"/>
    </w:rPr>
  </w:style>
  <w:style w:type="paragraph" w:customStyle="1" w:styleId="BoldNote1">
    <w:name w:val="Bold Note 1"/>
    <w:basedOn w:val="NoteHeading"/>
    <w:uiPriority w:val="14"/>
    <w:qFormat/>
    <w:rsid w:val="00112A69"/>
    <w:rPr>
      <w:b/>
    </w:rPr>
  </w:style>
  <w:style w:type="paragraph" w:styleId="Quote">
    <w:name w:val="Quote"/>
    <w:basedOn w:val="Normal"/>
    <w:next w:val="Normal"/>
    <w:link w:val="QuoteChar"/>
    <w:uiPriority w:val="14"/>
    <w:qFormat/>
    <w:rsid w:val="00112A69"/>
    <w:pPr>
      <w:ind w:left="720" w:right="720"/>
    </w:pPr>
    <w:rPr>
      <w:iCs/>
      <w:color w:val="000000" w:themeColor="text1"/>
    </w:rPr>
  </w:style>
  <w:style w:type="character" w:customStyle="1" w:styleId="QuoteChar">
    <w:name w:val="Quote Char"/>
    <w:basedOn w:val="DefaultParagraphFont"/>
    <w:link w:val="Quote"/>
    <w:uiPriority w:val="14"/>
    <w:rsid w:val="00D55243"/>
    <w:rPr>
      <w:iCs/>
      <w:color w:val="000000" w:themeColor="text1"/>
    </w:rPr>
  </w:style>
  <w:style w:type="character" w:styleId="IntenseEmphasis">
    <w:name w:val="Intense Emphasis"/>
    <w:basedOn w:val="DefaultParagraphFont"/>
    <w:uiPriority w:val="5"/>
    <w:qFormat/>
    <w:locked/>
    <w:rsid w:val="00112A69"/>
    <w:rPr>
      <w:rFonts w:asciiTheme="minorHAnsi" w:hAnsiTheme="minorHAnsi"/>
      <w:b/>
      <w:bCs/>
      <w:i/>
      <w:iCs/>
      <w:color w:val="1396D8"/>
      <w:sz w:val="20"/>
    </w:rPr>
  </w:style>
  <w:style w:type="character" w:styleId="Emphasis">
    <w:name w:val="Emphasis"/>
    <w:basedOn w:val="DefaultParagraphFont"/>
    <w:uiPriority w:val="20"/>
    <w:qFormat/>
    <w:rsid w:val="00F80AF1"/>
    <w:rPr>
      <w:rFonts w:asciiTheme="minorHAnsi" w:hAnsiTheme="minorHAnsi"/>
      <w:b/>
      <w:iCs/>
      <w:sz w:val="22"/>
    </w:rPr>
  </w:style>
  <w:style w:type="paragraph" w:styleId="BodyText">
    <w:name w:val="Body Text"/>
    <w:basedOn w:val="Normal"/>
    <w:link w:val="BodyTextChar"/>
    <w:uiPriority w:val="99"/>
    <w:semiHidden/>
    <w:unhideWhenUsed/>
    <w:locked/>
    <w:rsid w:val="00015DA7"/>
    <w:pPr>
      <w:spacing w:after="120"/>
    </w:pPr>
  </w:style>
  <w:style w:type="character" w:customStyle="1" w:styleId="BodyTextChar">
    <w:name w:val="Body Text Char"/>
    <w:basedOn w:val="DefaultParagraphFont"/>
    <w:link w:val="BodyText"/>
    <w:uiPriority w:val="99"/>
    <w:semiHidden/>
    <w:rsid w:val="00015DA7"/>
    <w:rPr>
      <w:sz w:val="20"/>
    </w:rPr>
  </w:style>
  <w:style w:type="paragraph" w:styleId="BodyTextFirstIndent">
    <w:name w:val="Body Text First Indent"/>
    <w:aliases w:val="Style Left 0.5"/>
    <w:basedOn w:val="BodyText"/>
    <w:link w:val="BodyTextFirstIndentChar"/>
    <w:autoRedefine/>
    <w:uiPriority w:val="99"/>
    <w:semiHidden/>
    <w:qFormat/>
    <w:locked/>
    <w:rsid w:val="00112A69"/>
    <w:pPr>
      <w:spacing w:after="200"/>
      <w:ind w:left="720"/>
    </w:pPr>
  </w:style>
  <w:style w:type="character" w:customStyle="1" w:styleId="BodyTextFirstIndentChar">
    <w:name w:val="Body Text First Indent Char"/>
    <w:aliases w:val="Style Left 0.5 Char"/>
    <w:basedOn w:val="BodyTextChar"/>
    <w:link w:val="BodyTextFirstIndent"/>
    <w:uiPriority w:val="99"/>
    <w:semiHidden/>
    <w:rsid w:val="00E03CE6"/>
    <w:rPr>
      <w:sz w:val="20"/>
    </w:rPr>
  </w:style>
  <w:style w:type="paragraph" w:customStyle="1" w:styleId="Left05Indent">
    <w:name w:val="Left 0.5&quot; Indent"/>
    <w:basedOn w:val="BodyTextFirstIndent"/>
    <w:autoRedefine/>
    <w:semiHidden/>
    <w:qFormat/>
    <w:locked/>
    <w:rsid w:val="0099448B"/>
    <w:pPr>
      <w:ind w:left="360"/>
    </w:pPr>
    <w:rPr>
      <w:rFonts w:cs="Arial"/>
    </w:rPr>
  </w:style>
  <w:style w:type="paragraph" w:styleId="NormalWeb">
    <w:name w:val="Normal (Web)"/>
    <w:basedOn w:val="Normal"/>
    <w:uiPriority w:val="99"/>
    <w:unhideWhenUsed/>
    <w:locked/>
    <w:rsid w:val="00015DA7"/>
    <w:pPr>
      <w:spacing w:after="292" w:line="292" w:lineRule="atLeast"/>
    </w:pPr>
    <w:rPr>
      <w:rFonts w:ascii="Times New Roman" w:eastAsia="Times New Roman" w:hAnsi="Times New Roman" w:cs="Times New Roman"/>
      <w:sz w:val="23"/>
      <w:szCs w:val="23"/>
    </w:rPr>
  </w:style>
  <w:style w:type="paragraph" w:styleId="ListParagraph">
    <w:name w:val="List Paragraph"/>
    <w:basedOn w:val="Normal"/>
    <w:autoRedefine/>
    <w:uiPriority w:val="34"/>
    <w:qFormat/>
    <w:rsid w:val="00F80AF1"/>
    <w:pPr>
      <w:numPr>
        <w:numId w:val="13"/>
      </w:numPr>
      <w:ind w:left="720"/>
      <w:contextualSpacing/>
    </w:pPr>
  </w:style>
  <w:style w:type="paragraph" w:styleId="TOCHeading">
    <w:name w:val="TOC Heading"/>
    <w:basedOn w:val="Heading1"/>
    <w:next w:val="Normal"/>
    <w:autoRedefine/>
    <w:uiPriority w:val="23"/>
    <w:qFormat/>
    <w:rsid w:val="005B2B58"/>
    <w:pPr>
      <w:numPr>
        <w:numId w:val="0"/>
      </w:numPr>
      <w:pBdr>
        <w:bottom w:val="single" w:sz="4" w:space="1" w:color="BFBFBF" w:themeColor="background1" w:themeShade="BF"/>
      </w:pBdr>
      <w:spacing w:before="480" w:line="240" w:lineRule="auto"/>
      <w:outlineLvl w:val="9"/>
    </w:pPr>
    <w:rPr>
      <w:color w:val="0096D7" w:themeColor="accent1"/>
    </w:rPr>
  </w:style>
  <w:style w:type="paragraph" w:styleId="TOC1">
    <w:name w:val="toc 1"/>
    <w:basedOn w:val="Normal"/>
    <w:next w:val="Normal"/>
    <w:autoRedefine/>
    <w:uiPriority w:val="39"/>
    <w:qFormat/>
    <w:rsid w:val="00047C08"/>
    <w:pPr>
      <w:tabs>
        <w:tab w:val="left" w:pos="400"/>
        <w:tab w:val="right" w:leader="dot" w:pos="9350"/>
      </w:tabs>
      <w:spacing w:after="100"/>
    </w:pPr>
    <w:rPr>
      <w:color w:val="000000" w:themeColor="text1"/>
    </w:rPr>
  </w:style>
  <w:style w:type="paragraph" w:styleId="TOC2">
    <w:name w:val="toc 2"/>
    <w:basedOn w:val="TOC1"/>
    <w:next w:val="Normal"/>
    <w:autoRedefine/>
    <w:uiPriority w:val="39"/>
    <w:qFormat/>
    <w:rsid w:val="00227E4B"/>
    <w:pPr>
      <w:ind w:left="288"/>
    </w:pPr>
  </w:style>
  <w:style w:type="paragraph" w:styleId="TOC3">
    <w:name w:val="toc 3"/>
    <w:basedOn w:val="TOC2"/>
    <w:next w:val="Normal"/>
    <w:autoRedefine/>
    <w:uiPriority w:val="39"/>
    <w:qFormat/>
    <w:rsid w:val="00047C08"/>
    <w:pPr>
      <w:ind w:left="648"/>
    </w:pPr>
  </w:style>
  <w:style w:type="paragraph" w:styleId="BalloonText">
    <w:name w:val="Balloon Text"/>
    <w:basedOn w:val="Normal"/>
    <w:link w:val="BalloonTextChar"/>
    <w:uiPriority w:val="99"/>
    <w:semiHidden/>
    <w:locked/>
    <w:rsid w:val="00901B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55243"/>
    <w:rPr>
      <w:rFonts w:ascii="Tahoma" w:hAnsi="Tahoma" w:cs="Tahoma"/>
      <w:sz w:val="16"/>
      <w:szCs w:val="16"/>
    </w:rPr>
  </w:style>
  <w:style w:type="paragraph" w:customStyle="1" w:styleId="Boxtext">
    <w:name w:val="Box text"/>
    <w:basedOn w:val="BodyText"/>
    <w:uiPriority w:val="2"/>
    <w:qFormat/>
    <w:rsid w:val="00112A69"/>
    <w:pPr>
      <w:pBdr>
        <w:top w:val="single" w:sz="4" w:space="2" w:color="auto"/>
        <w:left w:val="single" w:sz="4" w:space="4" w:color="auto"/>
        <w:bottom w:val="single" w:sz="4" w:space="4" w:color="auto"/>
        <w:right w:val="single" w:sz="4" w:space="4" w:color="auto"/>
      </w:pBdr>
      <w:spacing w:before="120" w:after="80"/>
    </w:pPr>
    <w:rPr>
      <w:rFonts w:eastAsiaTheme="minorEastAsia" w:cs="Times New Roman"/>
    </w:rPr>
  </w:style>
  <w:style w:type="paragraph" w:styleId="BodyTextIndent3">
    <w:name w:val="Body Text Indent 3"/>
    <w:aliases w:val="Table Text .25 ndent"/>
    <w:basedOn w:val="Normal"/>
    <w:link w:val="BodyTextIndent3Char"/>
    <w:autoRedefine/>
    <w:uiPriority w:val="99"/>
    <w:semiHidden/>
    <w:qFormat/>
    <w:locked/>
    <w:rsid w:val="00112A69"/>
    <w:pPr>
      <w:framePr w:hSpace="180" w:wrap="around" w:vAnchor="text" w:hAnchor="margin" w:y="110"/>
      <w:spacing w:before="60" w:after="0" w:line="240" w:lineRule="auto"/>
      <w:ind w:left="187"/>
    </w:pPr>
    <w:rPr>
      <w:rFonts w:ascii="Arial" w:eastAsiaTheme="minorEastAsia" w:hAnsi="Arial" w:cs="Arial"/>
      <w:color w:val="000000"/>
      <w:sz w:val="16"/>
      <w:szCs w:val="16"/>
    </w:rPr>
  </w:style>
  <w:style w:type="character" w:customStyle="1" w:styleId="BodyTextIndent3Char">
    <w:name w:val="Body Text Indent 3 Char"/>
    <w:aliases w:val="Table Text .25 ndent Char"/>
    <w:basedOn w:val="DefaultParagraphFont"/>
    <w:link w:val="BodyTextIndent3"/>
    <w:uiPriority w:val="99"/>
    <w:semiHidden/>
    <w:rsid w:val="00E03CE6"/>
    <w:rPr>
      <w:rFonts w:ascii="Arial" w:eastAsiaTheme="minorEastAsia" w:hAnsi="Arial" w:cs="Arial"/>
      <w:color w:val="000000"/>
      <w:sz w:val="16"/>
      <w:szCs w:val="16"/>
    </w:rPr>
  </w:style>
  <w:style w:type="paragraph" w:styleId="FootnoteText">
    <w:name w:val="footnote text"/>
    <w:basedOn w:val="Normal"/>
    <w:link w:val="FootnoteTextChar"/>
    <w:autoRedefine/>
    <w:uiPriority w:val="7"/>
    <w:qFormat/>
    <w:rsid w:val="00C7266E"/>
    <w:pPr>
      <w:spacing w:after="0" w:line="240" w:lineRule="atLeast"/>
      <w:contextualSpacing/>
    </w:pPr>
    <w:rPr>
      <w:sz w:val="18"/>
    </w:rPr>
  </w:style>
  <w:style w:type="character" w:customStyle="1" w:styleId="FootnoteTextChar">
    <w:name w:val="Footnote Text Char"/>
    <w:basedOn w:val="DefaultParagraphFont"/>
    <w:link w:val="FootnoteText"/>
    <w:uiPriority w:val="7"/>
    <w:rsid w:val="00C7266E"/>
    <w:rPr>
      <w:sz w:val="18"/>
    </w:rPr>
  </w:style>
  <w:style w:type="character" w:styleId="FootnoteReference">
    <w:name w:val="footnote reference"/>
    <w:basedOn w:val="DefaultParagraphFont"/>
    <w:uiPriority w:val="8"/>
    <w:rsid w:val="00965A44"/>
    <w:rPr>
      <w:vertAlign w:val="superscript"/>
    </w:rPr>
  </w:style>
  <w:style w:type="paragraph" w:styleId="List">
    <w:name w:val="List"/>
    <w:basedOn w:val="Normal"/>
    <w:uiPriority w:val="99"/>
    <w:semiHidden/>
    <w:locked/>
    <w:rsid w:val="00112A69"/>
    <w:pPr>
      <w:ind w:left="360" w:hanging="360"/>
      <w:contextualSpacing/>
    </w:pPr>
  </w:style>
  <w:style w:type="paragraph" w:styleId="List2">
    <w:name w:val="List 2"/>
    <w:basedOn w:val="Normal"/>
    <w:uiPriority w:val="99"/>
    <w:semiHidden/>
    <w:locked/>
    <w:rsid w:val="00112A69"/>
    <w:pPr>
      <w:ind w:left="720" w:hanging="360"/>
      <w:contextualSpacing/>
    </w:pPr>
  </w:style>
  <w:style w:type="paragraph" w:styleId="List3">
    <w:name w:val="List 3"/>
    <w:basedOn w:val="Normal"/>
    <w:uiPriority w:val="99"/>
    <w:semiHidden/>
    <w:locked/>
    <w:rsid w:val="00112A69"/>
    <w:pPr>
      <w:ind w:left="1080" w:hanging="360"/>
      <w:contextualSpacing/>
    </w:pPr>
  </w:style>
  <w:style w:type="paragraph" w:styleId="List4">
    <w:name w:val="List 4"/>
    <w:basedOn w:val="Normal"/>
    <w:uiPriority w:val="99"/>
    <w:semiHidden/>
    <w:locked/>
    <w:rsid w:val="00112A69"/>
    <w:pPr>
      <w:ind w:left="1440" w:hanging="360"/>
      <w:contextualSpacing/>
    </w:pPr>
  </w:style>
  <w:style w:type="paragraph" w:styleId="List5">
    <w:name w:val="List 5"/>
    <w:basedOn w:val="Normal"/>
    <w:uiPriority w:val="99"/>
    <w:semiHidden/>
    <w:locked/>
    <w:rsid w:val="00112A69"/>
    <w:pPr>
      <w:ind w:left="1800" w:hanging="360"/>
      <w:contextualSpacing/>
    </w:pPr>
  </w:style>
  <w:style w:type="paragraph" w:styleId="ListBullet">
    <w:name w:val="List Bullet"/>
    <w:basedOn w:val="Normal"/>
    <w:uiPriority w:val="99"/>
    <w:semiHidden/>
    <w:locked/>
    <w:rsid w:val="00112A69"/>
    <w:pPr>
      <w:numPr>
        <w:numId w:val="34"/>
      </w:numPr>
      <w:contextualSpacing/>
    </w:pPr>
  </w:style>
  <w:style w:type="paragraph" w:styleId="ListBullet2">
    <w:name w:val="List Bullet 2"/>
    <w:basedOn w:val="Normal"/>
    <w:uiPriority w:val="99"/>
    <w:semiHidden/>
    <w:locked/>
    <w:rsid w:val="00112A69"/>
    <w:pPr>
      <w:numPr>
        <w:numId w:val="35"/>
      </w:numPr>
      <w:contextualSpacing/>
    </w:pPr>
  </w:style>
  <w:style w:type="paragraph" w:styleId="ListBullet3">
    <w:name w:val="List Bullet 3"/>
    <w:basedOn w:val="Normal"/>
    <w:uiPriority w:val="99"/>
    <w:semiHidden/>
    <w:locked/>
    <w:rsid w:val="00112A69"/>
    <w:pPr>
      <w:numPr>
        <w:numId w:val="36"/>
      </w:numPr>
      <w:contextualSpacing/>
    </w:pPr>
  </w:style>
  <w:style w:type="paragraph" w:styleId="ListBullet4">
    <w:name w:val="List Bullet 4"/>
    <w:basedOn w:val="Normal"/>
    <w:uiPriority w:val="99"/>
    <w:semiHidden/>
    <w:locked/>
    <w:rsid w:val="00112A69"/>
    <w:pPr>
      <w:numPr>
        <w:numId w:val="37"/>
      </w:numPr>
      <w:contextualSpacing/>
    </w:pPr>
  </w:style>
  <w:style w:type="paragraph" w:styleId="ListContinue2">
    <w:name w:val="List Continue 2"/>
    <w:basedOn w:val="Normal"/>
    <w:uiPriority w:val="99"/>
    <w:semiHidden/>
    <w:locked/>
    <w:rsid w:val="00112A69"/>
    <w:pPr>
      <w:spacing w:after="120"/>
      <w:ind w:left="720"/>
      <w:contextualSpacing/>
    </w:pPr>
  </w:style>
  <w:style w:type="paragraph" w:styleId="ListContinue4">
    <w:name w:val="List Continue 4"/>
    <w:basedOn w:val="Normal"/>
    <w:uiPriority w:val="99"/>
    <w:semiHidden/>
    <w:locked/>
    <w:rsid w:val="00112A69"/>
    <w:pPr>
      <w:spacing w:after="120"/>
      <w:ind w:left="1440"/>
      <w:contextualSpacing/>
    </w:pPr>
  </w:style>
  <w:style w:type="character" w:styleId="LineNumber">
    <w:name w:val="line number"/>
    <w:basedOn w:val="DefaultParagraphFont"/>
    <w:uiPriority w:val="99"/>
    <w:semiHidden/>
    <w:locked/>
    <w:rsid w:val="00112A69"/>
  </w:style>
  <w:style w:type="paragraph" w:styleId="Index1">
    <w:name w:val="index 1"/>
    <w:basedOn w:val="Normal"/>
    <w:next w:val="Normal"/>
    <w:autoRedefine/>
    <w:uiPriority w:val="99"/>
    <w:semiHidden/>
    <w:unhideWhenUsed/>
    <w:locked/>
    <w:rsid w:val="00E27661"/>
    <w:pPr>
      <w:spacing w:after="0" w:line="240" w:lineRule="auto"/>
      <w:ind w:left="200" w:hanging="200"/>
    </w:pPr>
  </w:style>
  <w:style w:type="paragraph" w:styleId="IndexHeading">
    <w:name w:val="index heading"/>
    <w:basedOn w:val="Normal"/>
    <w:next w:val="Index1"/>
    <w:uiPriority w:val="99"/>
    <w:semiHidden/>
    <w:locked/>
    <w:rsid w:val="00112A69"/>
    <w:rPr>
      <w:rFonts w:asciiTheme="majorHAnsi" w:eastAsiaTheme="majorEastAsia" w:hAnsiTheme="majorHAnsi" w:cstheme="majorBidi"/>
      <w:b/>
      <w:bCs/>
    </w:rPr>
  </w:style>
  <w:style w:type="paragraph" w:customStyle="1" w:styleId="Text">
    <w:name w:val="Text"/>
    <w:basedOn w:val="BodyTextIndent3"/>
    <w:autoRedefine/>
    <w:uiPriority w:val="99"/>
    <w:semiHidden/>
    <w:qFormat/>
    <w:locked/>
    <w:rsid w:val="00112A69"/>
    <w:pPr>
      <w:framePr w:wrap="around"/>
      <w:ind w:left="180"/>
    </w:pPr>
  </w:style>
  <w:style w:type="paragraph" w:customStyle="1" w:styleId="TableTextIndent25">
    <w:name w:val="Table Text Indent .25"/>
    <w:basedOn w:val="Normal"/>
    <w:next w:val="Normal"/>
    <w:autoRedefine/>
    <w:uiPriority w:val="99"/>
    <w:semiHidden/>
    <w:qFormat/>
    <w:locked/>
    <w:rsid w:val="00112A69"/>
    <w:pPr>
      <w:spacing w:before="60" w:after="0" w:line="240" w:lineRule="auto"/>
      <w:ind w:left="216"/>
    </w:pPr>
    <w:rPr>
      <w:sz w:val="16"/>
    </w:rPr>
  </w:style>
  <w:style w:type="paragraph" w:customStyle="1" w:styleId="BoldTableStyle">
    <w:name w:val="Bold Table Style"/>
    <w:basedOn w:val="Normal"/>
    <w:autoRedefine/>
    <w:semiHidden/>
    <w:qFormat/>
    <w:locked/>
    <w:rsid w:val="00112A69"/>
    <w:pPr>
      <w:framePr w:hSpace="180" w:wrap="around" w:vAnchor="text" w:hAnchor="margin" w:y="110"/>
      <w:spacing w:before="40" w:after="40" w:line="240" w:lineRule="auto"/>
    </w:pPr>
    <w:rPr>
      <w:rFonts w:eastAsiaTheme="minorEastAsia" w:cs="Arial"/>
      <w:b/>
      <w:color w:val="000000"/>
      <w:sz w:val="16"/>
      <w:szCs w:val="16"/>
    </w:rPr>
  </w:style>
  <w:style w:type="paragraph" w:styleId="TOC4">
    <w:name w:val="toc 4"/>
    <w:basedOn w:val="TOC3"/>
    <w:next w:val="Normal"/>
    <w:autoRedefine/>
    <w:uiPriority w:val="39"/>
    <w:qFormat/>
    <w:rsid w:val="00F575F0"/>
    <w:pPr>
      <w:ind w:left="1008"/>
    </w:pPr>
    <w:rPr>
      <w:noProof/>
    </w:rPr>
  </w:style>
  <w:style w:type="paragraph" w:styleId="ListNumber">
    <w:name w:val="List Number"/>
    <w:basedOn w:val="Normal"/>
    <w:uiPriority w:val="20"/>
    <w:locked/>
    <w:rsid w:val="00046593"/>
    <w:pPr>
      <w:numPr>
        <w:numId w:val="7"/>
      </w:numPr>
      <w:contextualSpacing/>
    </w:pPr>
  </w:style>
  <w:style w:type="table" w:customStyle="1" w:styleId="LightShading1">
    <w:name w:val="Light Shading1"/>
    <w:basedOn w:val="TableNormal"/>
    <w:uiPriority w:val="60"/>
    <w:locked/>
    <w:rsid w:val="00A00D71"/>
    <w:pPr>
      <w:spacing w:after="0"/>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styleId="TableofFigures">
    <w:name w:val="table of figures"/>
    <w:basedOn w:val="Normal"/>
    <w:next w:val="Normal"/>
    <w:uiPriority w:val="99"/>
    <w:rsid w:val="002207DF"/>
    <w:pPr>
      <w:spacing w:after="0"/>
    </w:pPr>
  </w:style>
  <w:style w:type="character" w:styleId="PlaceholderText">
    <w:name w:val="Placeholder Text"/>
    <w:basedOn w:val="DefaultParagraphFont"/>
    <w:uiPriority w:val="99"/>
    <w:semiHidden/>
    <w:locked/>
    <w:rsid w:val="002B0FD2"/>
    <w:rPr>
      <w:color w:val="808080"/>
    </w:rPr>
  </w:style>
  <w:style w:type="paragraph" w:styleId="Title">
    <w:name w:val="Title"/>
    <w:basedOn w:val="Normal"/>
    <w:next w:val="Normal"/>
    <w:link w:val="TitleChar"/>
    <w:autoRedefine/>
    <w:uiPriority w:val="99"/>
    <w:semiHidden/>
    <w:qFormat/>
    <w:locked/>
    <w:rsid w:val="002B0FD2"/>
    <w:pPr>
      <w:spacing w:after="360" w:line="240" w:lineRule="auto"/>
      <w:contextualSpacing/>
    </w:pPr>
    <w:rPr>
      <w:rFonts w:asciiTheme="majorHAnsi" w:eastAsiaTheme="majorEastAsia" w:hAnsiTheme="majorHAnsi" w:cstheme="majorBidi"/>
      <w:color w:val="139CD8"/>
      <w:spacing w:val="5"/>
      <w:kern w:val="28"/>
      <w:sz w:val="52"/>
      <w:szCs w:val="52"/>
    </w:rPr>
  </w:style>
  <w:style w:type="character" w:customStyle="1" w:styleId="TitleChar">
    <w:name w:val="Title Char"/>
    <w:basedOn w:val="DefaultParagraphFont"/>
    <w:link w:val="Title"/>
    <w:uiPriority w:val="99"/>
    <w:semiHidden/>
    <w:rsid w:val="00E03CE6"/>
    <w:rPr>
      <w:rFonts w:asciiTheme="majorHAnsi" w:eastAsiaTheme="majorEastAsia" w:hAnsiTheme="majorHAnsi" w:cstheme="majorBidi"/>
      <w:color w:val="139CD8"/>
      <w:spacing w:val="5"/>
      <w:kern w:val="28"/>
      <w:sz w:val="52"/>
      <w:szCs w:val="52"/>
    </w:rPr>
  </w:style>
  <w:style w:type="paragraph" w:styleId="Date">
    <w:name w:val="Date"/>
    <w:basedOn w:val="Normal"/>
    <w:next w:val="Normal"/>
    <w:link w:val="DateChar"/>
    <w:autoRedefine/>
    <w:uiPriority w:val="4"/>
    <w:qFormat/>
    <w:locked/>
    <w:rsid w:val="002B0FD2"/>
    <w:rPr>
      <w:color w:val="7E8E9A"/>
    </w:rPr>
  </w:style>
  <w:style w:type="character" w:customStyle="1" w:styleId="DateChar">
    <w:name w:val="Date Char"/>
    <w:basedOn w:val="DefaultParagraphFont"/>
    <w:link w:val="Date"/>
    <w:uiPriority w:val="4"/>
    <w:rsid w:val="00D55243"/>
    <w:rPr>
      <w:color w:val="7E8E9A"/>
      <w:sz w:val="22"/>
    </w:rPr>
  </w:style>
  <w:style w:type="table" w:styleId="ColorfulList-Accent3">
    <w:name w:val="Colorful List Accent 3"/>
    <w:basedOn w:val="TableNormal"/>
    <w:uiPriority w:val="72"/>
    <w:locked/>
    <w:rsid w:val="00D55243"/>
    <w:pPr>
      <w:spacing w:after="0"/>
    </w:pPr>
    <w:rPr>
      <w:color w:val="000000" w:themeColor="text1"/>
    </w:rPr>
    <w:tblPr>
      <w:tblStyleRowBandSize w:val="1"/>
      <w:tblStyleColBandSize w:val="1"/>
    </w:tblPr>
    <w:tcPr>
      <w:shd w:val="clear" w:color="auto" w:fill="EEF7E8" w:themeFill="accent3" w:themeFillTint="19"/>
    </w:tcPr>
    <w:tblStylePr w:type="firstRow">
      <w:rPr>
        <w:b/>
        <w:bCs/>
        <w:color w:val="FFFFFF" w:themeColor="background1"/>
      </w:rPr>
      <w:tblPr/>
      <w:tcPr>
        <w:tcBorders>
          <w:bottom w:val="single" w:sz="12" w:space="0" w:color="FFFFFF" w:themeColor="background1"/>
        </w:tcBorders>
        <w:shd w:val="clear" w:color="auto" w:fill="CD9F00" w:themeFill="accent4" w:themeFillShade="CC"/>
      </w:tcPr>
    </w:tblStylePr>
    <w:tblStylePr w:type="lastRow">
      <w:rPr>
        <w:b/>
        <w:bCs/>
        <w:color w:val="CD9F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5ECC5" w:themeFill="accent3" w:themeFillTint="3F"/>
      </w:tcPr>
    </w:tblStylePr>
    <w:tblStylePr w:type="band1Horz">
      <w:tblPr/>
      <w:tcPr>
        <w:shd w:val="clear" w:color="auto" w:fill="DDEFD0" w:themeFill="accent3" w:themeFillTint="33"/>
      </w:tcPr>
    </w:tblStylePr>
  </w:style>
  <w:style w:type="table" w:styleId="ColorfulGrid-Accent6">
    <w:name w:val="Colorful Grid Accent 6"/>
    <w:basedOn w:val="TableNormal"/>
    <w:uiPriority w:val="73"/>
    <w:locked/>
    <w:rsid w:val="00D55243"/>
    <w:pPr>
      <w:spacing w:after="0"/>
    </w:pPr>
    <w:rPr>
      <w:color w:val="000000" w:themeColor="text1"/>
    </w:rPr>
    <w:tblPr>
      <w:tblStyleRowBandSize w:val="1"/>
      <w:tblStyleColBandSize w:val="1"/>
      <w:tblBorders>
        <w:insideH w:val="single" w:sz="4" w:space="0" w:color="FFFFFF" w:themeColor="background1"/>
      </w:tblBorders>
    </w:tblPr>
    <w:tcPr>
      <w:shd w:val="clear" w:color="auto" w:fill="FBEAB2" w:themeFill="accent6" w:themeFillTint="33"/>
    </w:tcPr>
    <w:tblStylePr w:type="firstRow">
      <w:rPr>
        <w:b/>
        <w:bCs/>
      </w:rPr>
      <w:tblPr/>
      <w:tcPr>
        <w:shd w:val="clear" w:color="auto" w:fill="F7D565" w:themeFill="accent6" w:themeFillTint="66"/>
      </w:tcPr>
    </w:tblStylePr>
    <w:tblStylePr w:type="lastRow">
      <w:rPr>
        <w:b/>
        <w:bCs/>
        <w:color w:val="000000" w:themeColor="text1"/>
      </w:rPr>
      <w:tblPr/>
      <w:tcPr>
        <w:shd w:val="clear" w:color="auto" w:fill="F7D565" w:themeFill="accent6" w:themeFillTint="66"/>
      </w:tcPr>
    </w:tblStylePr>
    <w:tblStylePr w:type="firstCol">
      <w:rPr>
        <w:color w:val="FFFFFF" w:themeColor="background1"/>
      </w:rPr>
      <w:tblPr/>
      <w:tcPr>
        <w:shd w:val="clear" w:color="auto" w:fill="4C3B03" w:themeFill="accent6" w:themeFillShade="BF"/>
      </w:tcPr>
    </w:tblStylePr>
    <w:tblStylePr w:type="lastCol">
      <w:rPr>
        <w:color w:val="FFFFFF" w:themeColor="background1"/>
      </w:rPr>
      <w:tblPr/>
      <w:tcPr>
        <w:shd w:val="clear" w:color="auto" w:fill="4C3B03" w:themeFill="accent6" w:themeFillShade="BF"/>
      </w:tcPr>
    </w:tblStylePr>
    <w:tblStylePr w:type="band1Vert">
      <w:tblPr/>
      <w:tcPr>
        <w:shd w:val="clear" w:color="auto" w:fill="F5CB3F" w:themeFill="accent6" w:themeFillTint="7F"/>
      </w:tcPr>
    </w:tblStylePr>
    <w:tblStylePr w:type="band1Horz">
      <w:tblPr/>
      <w:tcPr>
        <w:shd w:val="clear" w:color="auto" w:fill="F5CB3F" w:themeFill="accent6" w:themeFillTint="7F"/>
      </w:tcPr>
    </w:tblStylePr>
  </w:style>
  <w:style w:type="table" w:styleId="TableGrid">
    <w:name w:val="Table Grid"/>
    <w:basedOn w:val="TableNormal"/>
    <w:uiPriority w:val="59"/>
    <w:locked/>
    <w:rsid w:val="00FB08E3"/>
    <w:pPr>
      <w:spacing w:after="0"/>
      <w:jc w:val="right"/>
    </w:pPr>
    <w:rPr>
      <w:sz w:val="18"/>
    </w:rPr>
    <w:tblPr>
      <w:tblStyleRowBandSize w:val="1"/>
      <w:tblStyleColBandSize w:val="1"/>
    </w:tblPr>
    <w:tblStylePr w:type="firstRow">
      <w:pPr>
        <w:jc w:val="right"/>
      </w:pPr>
      <w:rPr>
        <w:b/>
      </w:rPr>
      <w:tblPr/>
      <w:tcPr>
        <w:tcBorders>
          <w:bottom w:val="single" w:sz="18" w:space="0" w:color="0096D7" w:themeColor="accent1"/>
        </w:tcBorders>
        <w:vAlign w:val="bottom"/>
      </w:tcPr>
    </w:tblStylePr>
    <w:tblStylePr w:type="lastRow">
      <w:rPr>
        <w:b w:val="0"/>
      </w:rPr>
      <w:tblPr/>
      <w:tcPr>
        <w:tcBorders>
          <w:top w:val="single" w:sz="12" w:space="0" w:color="0096D7" w:themeColor="accent1"/>
        </w:tcBorders>
      </w:tcPr>
    </w:tblStylePr>
    <w:tblStylePr w:type="firstCol">
      <w:pPr>
        <w:wordWrap/>
        <w:jc w:val="left"/>
      </w:pPr>
    </w:tblStylePr>
    <w:tblStylePr w:type="band1Horz">
      <w:pPr>
        <w:wordWrap/>
        <w:jc w:val="right"/>
      </w:pPr>
      <w:tblPr/>
      <w:tcPr>
        <w:tcBorders>
          <w:bottom w:val="dashed" w:sz="4" w:space="0" w:color="BFBFBF" w:themeColor="background1" w:themeShade="BF"/>
        </w:tcBorders>
      </w:tcPr>
    </w:tblStylePr>
    <w:tblStylePr w:type="band2Horz">
      <w:pPr>
        <w:wordWrap/>
        <w:jc w:val="right"/>
      </w:pPr>
      <w:tblPr/>
      <w:tcPr>
        <w:tcBorders>
          <w:bottom w:val="dashed" w:sz="4" w:space="0" w:color="BFBFBF" w:themeColor="background1" w:themeShade="BF"/>
        </w:tcBorders>
      </w:tcPr>
    </w:tblStylePr>
    <w:tblStylePr w:type="nwCell">
      <w:pPr>
        <w:jc w:val="left"/>
      </w:pPr>
      <w:tblPr/>
      <w:tcPr>
        <w:vAlign w:val="bottom"/>
      </w:tcPr>
    </w:tblStylePr>
  </w:style>
  <w:style w:type="paragraph" w:customStyle="1" w:styleId="Tablefootnotetext">
    <w:name w:val="Table footnote text"/>
    <w:basedOn w:val="FootnoteText"/>
    <w:uiPriority w:val="8"/>
    <w:qFormat/>
    <w:rsid w:val="00C7266E"/>
    <w:rPr>
      <w:i/>
    </w:rPr>
  </w:style>
  <w:style w:type="character" w:styleId="Strong">
    <w:name w:val="Strong"/>
    <w:basedOn w:val="DefaultParagraphFont"/>
    <w:uiPriority w:val="22"/>
    <w:qFormat/>
    <w:locked/>
    <w:rsid w:val="00677C5F"/>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077035">
      <w:bodyDiv w:val="1"/>
      <w:marLeft w:val="0"/>
      <w:marRight w:val="0"/>
      <w:marTop w:val="0"/>
      <w:marBottom w:val="0"/>
      <w:divBdr>
        <w:top w:val="none" w:sz="0" w:space="0" w:color="auto"/>
        <w:left w:val="none" w:sz="0" w:space="0" w:color="auto"/>
        <w:bottom w:val="none" w:sz="0" w:space="0" w:color="auto"/>
        <w:right w:val="none" w:sz="0" w:space="0" w:color="auto"/>
      </w:divBdr>
    </w:div>
    <w:div w:id="163906382">
      <w:bodyDiv w:val="1"/>
      <w:marLeft w:val="0"/>
      <w:marRight w:val="0"/>
      <w:marTop w:val="0"/>
      <w:marBottom w:val="0"/>
      <w:divBdr>
        <w:top w:val="none" w:sz="0" w:space="0" w:color="auto"/>
        <w:left w:val="none" w:sz="0" w:space="0" w:color="auto"/>
        <w:bottom w:val="none" w:sz="0" w:space="0" w:color="auto"/>
        <w:right w:val="none" w:sz="0" w:space="0" w:color="auto"/>
      </w:divBdr>
    </w:div>
    <w:div w:id="250704288">
      <w:bodyDiv w:val="1"/>
      <w:marLeft w:val="0"/>
      <w:marRight w:val="0"/>
      <w:marTop w:val="0"/>
      <w:marBottom w:val="0"/>
      <w:divBdr>
        <w:top w:val="none" w:sz="0" w:space="0" w:color="auto"/>
        <w:left w:val="none" w:sz="0" w:space="0" w:color="auto"/>
        <w:bottom w:val="none" w:sz="0" w:space="0" w:color="auto"/>
        <w:right w:val="none" w:sz="0" w:space="0" w:color="auto"/>
      </w:divBdr>
    </w:div>
    <w:div w:id="335571170">
      <w:bodyDiv w:val="1"/>
      <w:marLeft w:val="0"/>
      <w:marRight w:val="0"/>
      <w:marTop w:val="0"/>
      <w:marBottom w:val="0"/>
      <w:divBdr>
        <w:top w:val="none" w:sz="0" w:space="0" w:color="auto"/>
        <w:left w:val="none" w:sz="0" w:space="0" w:color="auto"/>
        <w:bottom w:val="none" w:sz="0" w:space="0" w:color="auto"/>
        <w:right w:val="none" w:sz="0" w:space="0" w:color="auto"/>
      </w:divBdr>
    </w:div>
    <w:div w:id="339814673">
      <w:bodyDiv w:val="1"/>
      <w:marLeft w:val="0"/>
      <w:marRight w:val="0"/>
      <w:marTop w:val="0"/>
      <w:marBottom w:val="0"/>
      <w:divBdr>
        <w:top w:val="none" w:sz="0" w:space="0" w:color="auto"/>
        <w:left w:val="none" w:sz="0" w:space="0" w:color="auto"/>
        <w:bottom w:val="none" w:sz="0" w:space="0" w:color="auto"/>
        <w:right w:val="none" w:sz="0" w:space="0" w:color="auto"/>
      </w:divBdr>
    </w:div>
    <w:div w:id="343021889">
      <w:bodyDiv w:val="1"/>
      <w:marLeft w:val="0"/>
      <w:marRight w:val="0"/>
      <w:marTop w:val="0"/>
      <w:marBottom w:val="0"/>
      <w:divBdr>
        <w:top w:val="none" w:sz="0" w:space="0" w:color="auto"/>
        <w:left w:val="none" w:sz="0" w:space="0" w:color="auto"/>
        <w:bottom w:val="none" w:sz="0" w:space="0" w:color="auto"/>
        <w:right w:val="none" w:sz="0" w:space="0" w:color="auto"/>
      </w:divBdr>
    </w:div>
    <w:div w:id="364253291">
      <w:bodyDiv w:val="1"/>
      <w:marLeft w:val="0"/>
      <w:marRight w:val="0"/>
      <w:marTop w:val="0"/>
      <w:marBottom w:val="0"/>
      <w:divBdr>
        <w:top w:val="none" w:sz="0" w:space="0" w:color="auto"/>
        <w:left w:val="none" w:sz="0" w:space="0" w:color="auto"/>
        <w:bottom w:val="none" w:sz="0" w:space="0" w:color="auto"/>
        <w:right w:val="none" w:sz="0" w:space="0" w:color="auto"/>
      </w:divBdr>
    </w:div>
    <w:div w:id="443424165">
      <w:bodyDiv w:val="1"/>
      <w:marLeft w:val="0"/>
      <w:marRight w:val="0"/>
      <w:marTop w:val="0"/>
      <w:marBottom w:val="0"/>
      <w:divBdr>
        <w:top w:val="none" w:sz="0" w:space="0" w:color="auto"/>
        <w:left w:val="none" w:sz="0" w:space="0" w:color="auto"/>
        <w:bottom w:val="none" w:sz="0" w:space="0" w:color="auto"/>
        <w:right w:val="none" w:sz="0" w:space="0" w:color="auto"/>
      </w:divBdr>
    </w:div>
    <w:div w:id="468868123">
      <w:bodyDiv w:val="1"/>
      <w:marLeft w:val="0"/>
      <w:marRight w:val="0"/>
      <w:marTop w:val="0"/>
      <w:marBottom w:val="0"/>
      <w:divBdr>
        <w:top w:val="none" w:sz="0" w:space="0" w:color="auto"/>
        <w:left w:val="none" w:sz="0" w:space="0" w:color="auto"/>
        <w:bottom w:val="none" w:sz="0" w:space="0" w:color="auto"/>
        <w:right w:val="none" w:sz="0" w:space="0" w:color="auto"/>
      </w:divBdr>
    </w:div>
    <w:div w:id="479076218">
      <w:bodyDiv w:val="1"/>
      <w:marLeft w:val="0"/>
      <w:marRight w:val="0"/>
      <w:marTop w:val="0"/>
      <w:marBottom w:val="0"/>
      <w:divBdr>
        <w:top w:val="none" w:sz="0" w:space="0" w:color="auto"/>
        <w:left w:val="none" w:sz="0" w:space="0" w:color="auto"/>
        <w:bottom w:val="none" w:sz="0" w:space="0" w:color="auto"/>
        <w:right w:val="none" w:sz="0" w:space="0" w:color="auto"/>
      </w:divBdr>
      <w:divsChild>
        <w:div w:id="866480587">
          <w:marLeft w:val="0"/>
          <w:marRight w:val="0"/>
          <w:marTop w:val="0"/>
          <w:marBottom w:val="0"/>
          <w:divBdr>
            <w:top w:val="none" w:sz="0" w:space="0" w:color="auto"/>
            <w:left w:val="none" w:sz="0" w:space="0" w:color="auto"/>
            <w:bottom w:val="none" w:sz="0" w:space="0" w:color="auto"/>
            <w:right w:val="none" w:sz="0" w:space="0" w:color="auto"/>
          </w:divBdr>
          <w:divsChild>
            <w:div w:id="1725057898">
              <w:marLeft w:val="0"/>
              <w:marRight w:val="0"/>
              <w:marTop w:val="125"/>
              <w:marBottom w:val="0"/>
              <w:divBdr>
                <w:top w:val="single" w:sz="8" w:space="6" w:color="666666"/>
                <w:left w:val="none" w:sz="0" w:space="0" w:color="auto"/>
                <w:bottom w:val="none" w:sz="0" w:space="0" w:color="auto"/>
                <w:right w:val="none" w:sz="0" w:space="0" w:color="auto"/>
              </w:divBdr>
            </w:div>
          </w:divsChild>
        </w:div>
      </w:divsChild>
    </w:div>
    <w:div w:id="523061490">
      <w:bodyDiv w:val="1"/>
      <w:marLeft w:val="0"/>
      <w:marRight w:val="0"/>
      <w:marTop w:val="0"/>
      <w:marBottom w:val="0"/>
      <w:divBdr>
        <w:top w:val="none" w:sz="0" w:space="0" w:color="auto"/>
        <w:left w:val="none" w:sz="0" w:space="0" w:color="auto"/>
        <w:bottom w:val="none" w:sz="0" w:space="0" w:color="auto"/>
        <w:right w:val="none" w:sz="0" w:space="0" w:color="auto"/>
      </w:divBdr>
    </w:div>
    <w:div w:id="571240497">
      <w:bodyDiv w:val="1"/>
      <w:marLeft w:val="0"/>
      <w:marRight w:val="0"/>
      <w:marTop w:val="0"/>
      <w:marBottom w:val="0"/>
      <w:divBdr>
        <w:top w:val="none" w:sz="0" w:space="0" w:color="auto"/>
        <w:left w:val="none" w:sz="0" w:space="0" w:color="auto"/>
        <w:bottom w:val="none" w:sz="0" w:space="0" w:color="auto"/>
        <w:right w:val="none" w:sz="0" w:space="0" w:color="auto"/>
      </w:divBdr>
    </w:div>
    <w:div w:id="577128761">
      <w:bodyDiv w:val="1"/>
      <w:marLeft w:val="0"/>
      <w:marRight w:val="0"/>
      <w:marTop w:val="0"/>
      <w:marBottom w:val="0"/>
      <w:divBdr>
        <w:top w:val="none" w:sz="0" w:space="0" w:color="auto"/>
        <w:left w:val="none" w:sz="0" w:space="0" w:color="auto"/>
        <w:bottom w:val="none" w:sz="0" w:space="0" w:color="auto"/>
        <w:right w:val="none" w:sz="0" w:space="0" w:color="auto"/>
      </w:divBdr>
    </w:div>
    <w:div w:id="603344179">
      <w:bodyDiv w:val="1"/>
      <w:marLeft w:val="0"/>
      <w:marRight w:val="0"/>
      <w:marTop w:val="0"/>
      <w:marBottom w:val="0"/>
      <w:divBdr>
        <w:top w:val="none" w:sz="0" w:space="0" w:color="auto"/>
        <w:left w:val="none" w:sz="0" w:space="0" w:color="auto"/>
        <w:bottom w:val="none" w:sz="0" w:space="0" w:color="auto"/>
        <w:right w:val="none" w:sz="0" w:space="0" w:color="auto"/>
      </w:divBdr>
    </w:div>
    <w:div w:id="741760865">
      <w:bodyDiv w:val="1"/>
      <w:marLeft w:val="0"/>
      <w:marRight w:val="0"/>
      <w:marTop w:val="0"/>
      <w:marBottom w:val="0"/>
      <w:divBdr>
        <w:top w:val="none" w:sz="0" w:space="0" w:color="auto"/>
        <w:left w:val="none" w:sz="0" w:space="0" w:color="auto"/>
        <w:bottom w:val="none" w:sz="0" w:space="0" w:color="auto"/>
        <w:right w:val="none" w:sz="0" w:space="0" w:color="auto"/>
      </w:divBdr>
    </w:div>
    <w:div w:id="800999263">
      <w:bodyDiv w:val="1"/>
      <w:marLeft w:val="0"/>
      <w:marRight w:val="0"/>
      <w:marTop w:val="0"/>
      <w:marBottom w:val="0"/>
      <w:divBdr>
        <w:top w:val="none" w:sz="0" w:space="0" w:color="auto"/>
        <w:left w:val="none" w:sz="0" w:space="0" w:color="auto"/>
        <w:bottom w:val="none" w:sz="0" w:space="0" w:color="auto"/>
        <w:right w:val="none" w:sz="0" w:space="0" w:color="auto"/>
      </w:divBdr>
    </w:div>
    <w:div w:id="802045184">
      <w:bodyDiv w:val="1"/>
      <w:marLeft w:val="0"/>
      <w:marRight w:val="0"/>
      <w:marTop w:val="0"/>
      <w:marBottom w:val="0"/>
      <w:divBdr>
        <w:top w:val="none" w:sz="0" w:space="0" w:color="auto"/>
        <w:left w:val="none" w:sz="0" w:space="0" w:color="auto"/>
        <w:bottom w:val="none" w:sz="0" w:space="0" w:color="auto"/>
        <w:right w:val="none" w:sz="0" w:space="0" w:color="auto"/>
      </w:divBdr>
    </w:div>
    <w:div w:id="806044680">
      <w:bodyDiv w:val="1"/>
      <w:marLeft w:val="0"/>
      <w:marRight w:val="0"/>
      <w:marTop w:val="0"/>
      <w:marBottom w:val="0"/>
      <w:divBdr>
        <w:top w:val="none" w:sz="0" w:space="0" w:color="auto"/>
        <w:left w:val="none" w:sz="0" w:space="0" w:color="auto"/>
        <w:bottom w:val="none" w:sz="0" w:space="0" w:color="auto"/>
        <w:right w:val="none" w:sz="0" w:space="0" w:color="auto"/>
      </w:divBdr>
    </w:div>
    <w:div w:id="809785599">
      <w:bodyDiv w:val="1"/>
      <w:marLeft w:val="0"/>
      <w:marRight w:val="0"/>
      <w:marTop w:val="0"/>
      <w:marBottom w:val="0"/>
      <w:divBdr>
        <w:top w:val="none" w:sz="0" w:space="0" w:color="auto"/>
        <w:left w:val="none" w:sz="0" w:space="0" w:color="auto"/>
        <w:bottom w:val="none" w:sz="0" w:space="0" w:color="auto"/>
        <w:right w:val="none" w:sz="0" w:space="0" w:color="auto"/>
      </w:divBdr>
    </w:div>
    <w:div w:id="884754839">
      <w:bodyDiv w:val="1"/>
      <w:marLeft w:val="0"/>
      <w:marRight w:val="0"/>
      <w:marTop w:val="0"/>
      <w:marBottom w:val="0"/>
      <w:divBdr>
        <w:top w:val="none" w:sz="0" w:space="0" w:color="auto"/>
        <w:left w:val="none" w:sz="0" w:space="0" w:color="auto"/>
        <w:bottom w:val="none" w:sz="0" w:space="0" w:color="auto"/>
        <w:right w:val="none" w:sz="0" w:space="0" w:color="auto"/>
      </w:divBdr>
    </w:div>
    <w:div w:id="890195221">
      <w:bodyDiv w:val="1"/>
      <w:marLeft w:val="0"/>
      <w:marRight w:val="0"/>
      <w:marTop w:val="0"/>
      <w:marBottom w:val="0"/>
      <w:divBdr>
        <w:top w:val="none" w:sz="0" w:space="0" w:color="auto"/>
        <w:left w:val="none" w:sz="0" w:space="0" w:color="auto"/>
        <w:bottom w:val="none" w:sz="0" w:space="0" w:color="auto"/>
        <w:right w:val="none" w:sz="0" w:space="0" w:color="auto"/>
      </w:divBdr>
    </w:div>
    <w:div w:id="962074558">
      <w:bodyDiv w:val="1"/>
      <w:marLeft w:val="0"/>
      <w:marRight w:val="0"/>
      <w:marTop w:val="0"/>
      <w:marBottom w:val="0"/>
      <w:divBdr>
        <w:top w:val="none" w:sz="0" w:space="0" w:color="auto"/>
        <w:left w:val="none" w:sz="0" w:space="0" w:color="auto"/>
        <w:bottom w:val="none" w:sz="0" w:space="0" w:color="auto"/>
        <w:right w:val="none" w:sz="0" w:space="0" w:color="auto"/>
      </w:divBdr>
    </w:div>
    <w:div w:id="1193618531">
      <w:bodyDiv w:val="1"/>
      <w:marLeft w:val="0"/>
      <w:marRight w:val="0"/>
      <w:marTop w:val="0"/>
      <w:marBottom w:val="0"/>
      <w:divBdr>
        <w:top w:val="none" w:sz="0" w:space="0" w:color="auto"/>
        <w:left w:val="none" w:sz="0" w:space="0" w:color="auto"/>
        <w:bottom w:val="none" w:sz="0" w:space="0" w:color="auto"/>
        <w:right w:val="none" w:sz="0" w:space="0" w:color="auto"/>
      </w:divBdr>
    </w:div>
    <w:div w:id="1249660238">
      <w:bodyDiv w:val="1"/>
      <w:marLeft w:val="0"/>
      <w:marRight w:val="0"/>
      <w:marTop w:val="0"/>
      <w:marBottom w:val="0"/>
      <w:divBdr>
        <w:top w:val="none" w:sz="0" w:space="0" w:color="auto"/>
        <w:left w:val="none" w:sz="0" w:space="0" w:color="auto"/>
        <w:bottom w:val="none" w:sz="0" w:space="0" w:color="auto"/>
        <w:right w:val="none" w:sz="0" w:space="0" w:color="auto"/>
      </w:divBdr>
    </w:div>
    <w:div w:id="1308437928">
      <w:bodyDiv w:val="1"/>
      <w:marLeft w:val="0"/>
      <w:marRight w:val="0"/>
      <w:marTop w:val="0"/>
      <w:marBottom w:val="0"/>
      <w:divBdr>
        <w:top w:val="none" w:sz="0" w:space="0" w:color="auto"/>
        <w:left w:val="none" w:sz="0" w:space="0" w:color="auto"/>
        <w:bottom w:val="none" w:sz="0" w:space="0" w:color="auto"/>
        <w:right w:val="none" w:sz="0" w:space="0" w:color="auto"/>
      </w:divBdr>
    </w:div>
    <w:div w:id="1345211228">
      <w:bodyDiv w:val="1"/>
      <w:marLeft w:val="0"/>
      <w:marRight w:val="0"/>
      <w:marTop w:val="0"/>
      <w:marBottom w:val="0"/>
      <w:divBdr>
        <w:top w:val="none" w:sz="0" w:space="0" w:color="auto"/>
        <w:left w:val="none" w:sz="0" w:space="0" w:color="auto"/>
        <w:bottom w:val="none" w:sz="0" w:space="0" w:color="auto"/>
        <w:right w:val="none" w:sz="0" w:space="0" w:color="auto"/>
      </w:divBdr>
    </w:div>
    <w:div w:id="1382097448">
      <w:bodyDiv w:val="1"/>
      <w:marLeft w:val="0"/>
      <w:marRight w:val="0"/>
      <w:marTop w:val="0"/>
      <w:marBottom w:val="0"/>
      <w:divBdr>
        <w:top w:val="none" w:sz="0" w:space="0" w:color="auto"/>
        <w:left w:val="none" w:sz="0" w:space="0" w:color="auto"/>
        <w:bottom w:val="none" w:sz="0" w:space="0" w:color="auto"/>
        <w:right w:val="none" w:sz="0" w:space="0" w:color="auto"/>
      </w:divBdr>
    </w:div>
    <w:div w:id="1390759981">
      <w:bodyDiv w:val="1"/>
      <w:marLeft w:val="0"/>
      <w:marRight w:val="0"/>
      <w:marTop w:val="0"/>
      <w:marBottom w:val="0"/>
      <w:divBdr>
        <w:top w:val="none" w:sz="0" w:space="0" w:color="auto"/>
        <w:left w:val="none" w:sz="0" w:space="0" w:color="auto"/>
        <w:bottom w:val="none" w:sz="0" w:space="0" w:color="auto"/>
        <w:right w:val="none" w:sz="0" w:space="0" w:color="auto"/>
      </w:divBdr>
    </w:div>
    <w:div w:id="1535968415">
      <w:bodyDiv w:val="1"/>
      <w:marLeft w:val="0"/>
      <w:marRight w:val="0"/>
      <w:marTop w:val="0"/>
      <w:marBottom w:val="0"/>
      <w:divBdr>
        <w:top w:val="none" w:sz="0" w:space="0" w:color="auto"/>
        <w:left w:val="none" w:sz="0" w:space="0" w:color="auto"/>
        <w:bottom w:val="none" w:sz="0" w:space="0" w:color="auto"/>
        <w:right w:val="none" w:sz="0" w:space="0" w:color="auto"/>
      </w:divBdr>
    </w:div>
    <w:div w:id="1615743633">
      <w:bodyDiv w:val="1"/>
      <w:marLeft w:val="0"/>
      <w:marRight w:val="0"/>
      <w:marTop w:val="0"/>
      <w:marBottom w:val="0"/>
      <w:divBdr>
        <w:top w:val="none" w:sz="0" w:space="0" w:color="auto"/>
        <w:left w:val="none" w:sz="0" w:space="0" w:color="auto"/>
        <w:bottom w:val="none" w:sz="0" w:space="0" w:color="auto"/>
        <w:right w:val="none" w:sz="0" w:space="0" w:color="auto"/>
      </w:divBdr>
    </w:div>
    <w:div w:id="1655571971">
      <w:bodyDiv w:val="1"/>
      <w:marLeft w:val="0"/>
      <w:marRight w:val="0"/>
      <w:marTop w:val="0"/>
      <w:marBottom w:val="0"/>
      <w:divBdr>
        <w:top w:val="none" w:sz="0" w:space="0" w:color="auto"/>
        <w:left w:val="none" w:sz="0" w:space="0" w:color="auto"/>
        <w:bottom w:val="none" w:sz="0" w:space="0" w:color="auto"/>
        <w:right w:val="none" w:sz="0" w:space="0" w:color="auto"/>
      </w:divBdr>
    </w:div>
    <w:div w:id="1715544069">
      <w:bodyDiv w:val="1"/>
      <w:marLeft w:val="0"/>
      <w:marRight w:val="0"/>
      <w:marTop w:val="0"/>
      <w:marBottom w:val="0"/>
      <w:divBdr>
        <w:top w:val="none" w:sz="0" w:space="0" w:color="auto"/>
        <w:left w:val="none" w:sz="0" w:space="0" w:color="auto"/>
        <w:bottom w:val="none" w:sz="0" w:space="0" w:color="auto"/>
        <w:right w:val="none" w:sz="0" w:space="0" w:color="auto"/>
      </w:divBdr>
    </w:div>
    <w:div w:id="1731881652">
      <w:bodyDiv w:val="1"/>
      <w:marLeft w:val="0"/>
      <w:marRight w:val="0"/>
      <w:marTop w:val="0"/>
      <w:marBottom w:val="0"/>
      <w:divBdr>
        <w:top w:val="none" w:sz="0" w:space="0" w:color="auto"/>
        <w:left w:val="none" w:sz="0" w:space="0" w:color="auto"/>
        <w:bottom w:val="none" w:sz="0" w:space="0" w:color="auto"/>
        <w:right w:val="none" w:sz="0" w:space="0" w:color="auto"/>
      </w:divBdr>
    </w:div>
    <w:div w:id="1732581147">
      <w:bodyDiv w:val="1"/>
      <w:marLeft w:val="0"/>
      <w:marRight w:val="0"/>
      <w:marTop w:val="0"/>
      <w:marBottom w:val="0"/>
      <w:divBdr>
        <w:top w:val="none" w:sz="0" w:space="0" w:color="auto"/>
        <w:left w:val="none" w:sz="0" w:space="0" w:color="auto"/>
        <w:bottom w:val="none" w:sz="0" w:space="0" w:color="auto"/>
        <w:right w:val="none" w:sz="0" w:space="0" w:color="auto"/>
      </w:divBdr>
    </w:div>
    <w:div w:id="1771194752">
      <w:bodyDiv w:val="1"/>
      <w:marLeft w:val="0"/>
      <w:marRight w:val="0"/>
      <w:marTop w:val="0"/>
      <w:marBottom w:val="0"/>
      <w:divBdr>
        <w:top w:val="none" w:sz="0" w:space="0" w:color="auto"/>
        <w:left w:val="none" w:sz="0" w:space="0" w:color="auto"/>
        <w:bottom w:val="none" w:sz="0" w:space="0" w:color="auto"/>
        <w:right w:val="none" w:sz="0" w:space="0" w:color="auto"/>
      </w:divBdr>
    </w:div>
    <w:div w:id="1790667053">
      <w:bodyDiv w:val="1"/>
      <w:marLeft w:val="0"/>
      <w:marRight w:val="0"/>
      <w:marTop w:val="0"/>
      <w:marBottom w:val="0"/>
      <w:divBdr>
        <w:top w:val="none" w:sz="0" w:space="0" w:color="auto"/>
        <w:left w:val="none" w:sz="0" w:space="0" w:color="auto"/>
        <w:bottom w:val="none" w:sz="0" w:space="0" w:color="auto"/>
        <w:right w:val="none" w:sz="0" w:space="0" w:color="auto"/>
      </w:divBdr>
    </w:div>
    <w:div w:id="1793356520">
      <w:bodyDiv w:val="1"/>
      <w:marLeft w:val="0"/>
      <w:marRight w:val="0"/>
      <w:marTop w:val="0"/>
      <w:marBottom w:val="0"/>
      <w:divBdr>
        <w:top w:val="none" w:sz="0" w:space="0" w:color="auto"/>
        <w:left w:val="none" w:sz="0" w:space="0" w:color="auto"/>
        <w:bottom w:val="none" w:sz="0" w:space="0" w:color="auto"/>
        <w:right w:val="none" w:sz="0" w:space="0" w:color="auto"/>
      </w:divBdr>
    </w:div>
    <w:div w:id="1878622013">
      <w:bodyDiv w:val="1"/>
      <w:marLeft w:val="0"/>
      <w:marRight w:val="0"/>
      <w:marTop w:val="0"/>
      <w:marBottom w:val="0"/>
      <w:divBdr>
        <w:top w:val="none" w:sz="0" w:space="0" w:color="auto"/>
        <w:left w:val="none" w:sz="0" w:space="0" w:color="auto"/>
        <w:bottom w:val="none" w:sz="0" w:space="0" w:color="auto"/>
        <w:right w:val="none" w:sz="0" w:space="0" w:color="auto"/>
      </w:divBdr>
    </w:div>
    <w:div w:id="1933469558">
      <w:bodyDiv w:val="1"/>
      <w:marLeft w:val="0"/>
      <w:marRight w:val="0"/>
      <w:marTop w:val="0"/>
      <w:marBottom w:val="0"/>
      <w:divBdr>
        <w:top w:val="none" w:sz="0" w:space="0" w:color="auto"/>
        <w:left w:val="none" w:sz="0" w:space="0" w:color="auto"/>
        <w:bottom w:val="none" w:sz="0" w:space="0" w:color="auto"/>
        <w:right w:val="none" w:sz="0" w:space="0" w:color="auto"/>
      </w:divBdr>
    </w:div>
    <w:div w:id="1948543027">
      <w:bodyDiv w:val="1"/>
      <w:marLeft w:val="0"/>
      <w:marRight w:val="0"/>
      <w:marTop w:val="0"/>
      <w:marBottom w:val="0"/>
      <w:divBdr>
        <w:top w:val="none" w:sz="0" w:space="0" w:color="auto"/>
        <w:left w:val="none" w:sz="0" w:space="0" w:color="auto"/>
        <w:bottom w:val="none" w:sz="0" w:space="0" w:color="auto"/>
        <w:right w:val="none" w:sz="0" w:space="0" w:color="auto"/>
      </w:divBdr>
    </w:div>
    <w:div w:id="1971128916">
      <w:bodyDiv w:val="1"/>
      <w:marLeft w:val="0"/>
      <w:marRight w:val="0"/>
      <w:marTop w:val="0"/>
      <w:marBottom w:val="0"/>
      <w:divBdr>
        <w:top w:val="none" w:sz="0" w:space="0" w:color="auto"/>
        <w:left w:val="none" w:sz="0" w:space="0" w:color="auto"/>
        <w:bottom w:val="none" w:sz="0" w:space="0" w:color="auto"/>
        <w:right w:val="none" w:sz="0" w:space="0" w:color="auto"/>
      </w:divBdr>
    </w:div>
    <w:div w:id="2027442359">
      <w:bodyDiv w:val="1"/>
      <w:marLeft w:val="0"/>
      <w:marRight w:val="0"/>
      <w:marTop w:val="0"/>
      <w:marBottom w:val="0"/>
      <w:divBdr>
        <w:top w:val="none" w:sz="0" w:space="0" w:color="auto"/>
        <w:left w:val="none" w:sz="0" w:space="0" w:color="auto"/>
        <w:bottom w:val="none" w:sz="0" w:space="0" w:color="auto"/>
        <w:right w:val="none" w:sz="0" w:space="0" w:color="auto"/>
      </w:divBdr>
    </w:div>
    <w:div w:id="2033263050">
      <w:bodyDiv w:val="1"/>
      <w:marLeft w:val="0"/>
      <w:marRight w:val="0"/>
      <w:marTop w:val="0"/>
      <w:marBottom w:val="0"/>
      <w:divBdr>
        <w:top w:val="none" w:sz="0" w:space="0" w:color="auto"/>
        <w:left w:val="none" w:sz="0" w:space="0" w:color="auto"/>
        <w:bottom w:val="none" w:sz="0" w:space="0" w:color="auto"/>
        <w:right w:val="none" w:sz="0" w:space="0" w:color="auto"/>
      </w:divBdr>
    </w:div>
    <w:div w:id="20756214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hyperlink" Target="http://ir.eia.gov/ngs/notes.html" TargetMode="External"/><Relationship Id="rId14" Type="http://schemas.openxmlformats.org/officeDocument/2006/relationships/header" Target="header3.xml"/></Relationships>
</file>

<file path=word/theme/theme1.xml><?xml version="1.0" encoding="utf-8"?>
<a:theme xmlns:a="http://schemas.openxmlformats.org/drawingml/2006/main" name="eia">
  <a:themeElements>
    <a:clrScheme name="EIA">
      <a:dk1>
        <a:srgbClr val="000000"/>
      </a:dk1>
      <a:lt1>
        <a:srgbClr val="FFFFFF"/>
      </a:lt1>
      <a:dk2>
        <a:srgbClr val="003953"/>
      </a:dk2>
      <a:lt2>
        <a:srgbClr val="333333"/>
      </a:lt2>
      <a:accent1>
        <a:srgbClr val="0096D7"/>
      </a:accent1>
      <a:accent2>
        <a:srgbClr val="BD732A"/>
      </a:accent2>
      <a:accent3>
        <a:srgbClr val="5D9732"/>
      </a:accent3>
      <a:accent4>
        <a:srgbClr val="FFC702"/>
      </a:accent4>
      <a:accent5>
        <a:srgbClr val="A33340"/>
      </a:accent5>
      <a:accent6>
        <a:srgbClr val="675005"/>
      </a:accent6>
      <a:hlink>
        <a:srgbClr val="0096D7"/>
      </a:hlink>
      <a:folHlink>
        <a:srgbClr val="5D9732"/>
      </a:folHlink>
    </a:clrScheme>
    <a:fontScheme name="EIA 1">
      <a:majorFont>
        <a:latin typeface="Times New Roman"/>
        <a:ea typeface=""/>
        <a:cs typeface=""/>
      </a:majorFont>
      <a:minorFont>
        <a:latin typeface="Calibri"/>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bwMode="auto">
        <a:xfrm>
          <a:off x="0" y="0"/>
          <a:ext cx="1" cy="1"/>
        </a:xfrm>
        <a:custGeom>
          <a:avLst/>
          <a:gdLst/>
          <a:ahLst/>
          <a:cxnLst/>
          <a:rect l="0" t="0" r="0" b="0"/>
          <a:pathLst/>
        </a:custGeom>
        <a:solidFill>
          <a:schemeClr val="accent1"/>
        </a:solidFill>
        <a:ln w="9525" cap="flat" cmpd="sng" algn="ctr">
          <a:solidFill>
            <a:schemeClr val="tx1"/>
          </a:solidFill>
          <a:prstDash val="solid"/>
          <a:round/>
          <a:headEnd type="none" w="med" len="med"/>
          <a:tailEnd type="none" w="med" len="med"/>
        </a:ln>
        <a:effectLst/>
      </a:spPr>
      <a:bodyPr vert="horz" wrap="square" lIns="91440" tIns="45720" rIns="91440" bIns="45720" numCol="1" anchor="t" anchorCtr="0" compatLnSpc="1">
        <a:prstTxWarp prst="textNoShape">
          <a:avLst/>
        </a:prstTxWarp>
      </a:bodyPr>
      <a:lstStyle>
        <a:defPPr marL="0" marR="0" indent="0" algn="l" defTabSz="914400" rtl="0" eaLnBrk="0" fontAlgn="base" latinLnBrk="0" hangingPunct="0">
          <a:lnSpc>
            <a:spcPct val="100000"/>
          </a:lnSpc>
          <a:spcBef>
            <a:spcPct val="0"/>
          </a:spcBef>
          <a:spcAft>
            <a:spcPct val="0"/>
          </a:spcAft>
          <a:buClrTx/>
          <a:buSzTx/>
          <a:buFontTx/>
          <a:buNone/>
          <a:tabLst/>
          <a:defRPr kumimoji="0" lang="en-US" sz="2400" b="0" i="0" u="none" strike="noStrike" cap="none" normalizeH="0" baseline="0">
            <a:ln>
              <a:noFill/>
            </a:ln>
            <a:solidFill>
              <a:schemeClr val="tx1"/>
            </a:solidFill>
            <a:effectLst/>
            <a:latin typeface="Arial" pitchFamily="-112" charset="0"/>
            <a:ea typeface="ＭＳ Ｐゴシック" pitchFamily="-112" charset="-128"/>
            <a:cs typeface="ＭＳ Ｐゴシック" pitchFamily="-112" charset="-128"/>
          </a:defRPr>
        </a:defPPr>
      </a:lstStyle>
    </a:spDef>
    <a:lnDef>
      <a:spPr bwMode="auto">
        <a:xfrm>
          <a:off x="0" y="0"/>
          <a:ext cx="1" cy="1"/>
        </a:xfrm>
        <a:custGeom>
          <a:avLst/>
          <a:gdLst/>
          <a:ahLst/>
          <a:cxnLst/>
          <a:rect l="0" t="0" r="0" b="0"/>
          <a:pathLst/>
        </a:custGeom>
        <a:solidFill>
          <a:schemeClr val="accent1"/>
        </a:solidFill>
        <a:ln w="9525" cap="flat" cmpd="sng" algn="ctr">
          <a:solidFill>
            <a:schemeClr val="tx1"/>
          </a:solidFill>
          <a:prstDash val="solid"/>
          <a:round/>
          <a:headEnd type="none" w="med" len="med"/>
          <a:tailEnd type="none" w="med" len="med"/>
        </a:ln>
        <a:effectLst/>
      </a:spPr>
      <a:bodyPr vert="horz" wrap="square" lIns="91440" tIns="45720" rIns="91440" bIns="45720" numCol="1" anchor="t" anchorCtr="0" compatLnSpc="1">
        <a:prstTxWarp prst="textNoShape">
          <a:avLst/>
        </a:prstTxWarp>
      </a:bodyPr>
      <a:lstStyle>
        <a:defPPr marL="0" marR="0" indent="0" algn="l" defTabSz="914400" rtl="0" eaLnBrk="0" fontAlgn="base" latinLnBrk="0" hangingPunct="0">
          <a:lnSpc>
            <a:spcPct val="100000"/>
          </a:lnSpc>
          <a:spcBef>
            <a:spcPct val="0"/>
          </a:spcBef>
          <a:spcAft>
            <a:spcPct val="0"/>
          </a:spcAft>
          <a:buClrTx/>
          <a:buSzTx/>
          <a:buFontTx/>
          <a:buNone/>
          <a:tabLst/>
          <a:defRPr kumimoji="0" lang="en-US" sz="2400" b="0" i="0" u="none" strike="noStrike" cap="none" normalizeH="0" baseline="0">
            <a:ln>
              <a:noFill/>
            </a:ln>
            <a:solidFill>
              <a:schemeClr val="tx1"/>
            </a:solidFill>
            <a:effectLst/>
            <a:latin typeface="Arial" pitchFamily="-112" charset="0"/>
            <a:ea typeface="ＭＳ Ｐゴシック" pitchFamily="-112" charset="-128"/>
            <a:cs typeface="ＭＳ Ｐゴシック" pitchFamily="-112" charset="-128"/>
          </a:defRPr>
        </a:defPPr>
      </a:lstStyle>
    </a:lnDef>
    <a:txDef>
      <a:spPr bwMode="auto">
        <a:noFill/>
        <a:ln w="9525">
          <a:noFill/>
          <a:miter lim="800000"/>
          <a:headEnd/>
          <a:tailEnd/>
        </a:ln>
      </a:spPr>
      <a:bodyPr lIns="0" tIns="0" rIns="0">
        <a:prstTxWarp prst="textNoShape">
          <a:avLst/>
        </a:prstTxWarp>
      </a:bodyPr>
      <a:lstStyle>
        <a:defPPr eaLnBrk="0" hangingPunct="0">
          <a:defRPr sz="1600" i="1" dirty="0" smtClean="0">
            <a:solidFill>
              <a:srgbClr val="333333"/>
            </a:solidFill>
            <a:latin typeface="Times New Roman" charset="0"/>
            <a:ea typeface="Times New Roman" charset="0"/>
            <a:cs typeface="Times New Roman" charset="0"/>
          </a:defRPr>
        </a:defPPr>
      </a:lstStyle>
    </a:txDef>
  </a:objectDefaults>
  <a:extraClrSchemeLst>
    <a:extraClrScheme>
      <a:clrScheme name="Blank Presentation 1">
        <a:dk1>
          <a:srgbClr val="000000"/>
        </a:dk1>
        <a:lt1>
          <a:srgbClr val="FFFFFF"/>
        </a:lt1>
        <a:dk2>
          <a:srgbClr val="000000"/>
        </a:dk2>
        <a:lt2>
          <a:srgbClr val="808080"/>
        </a:lt2>
        <a:accent1>
          <a:srgbClr val="BBE0E3"/>
        </a:accent1>
        <a:accent2>
          <a:srgbClr val="333399"/>
        </a:accent2>
        <a:accent3>
          <a:srgbClr val="FFFFFF"/>
        </a:accent3>
        <a:accent4>
          <a:srgbClr val="000000"/>
        </a:accent4>
        <a:accent5>
          <a:srgbClr val="DAEDEF"/>
        </a:accent5>
        <a:accent6>
          <a:srgbClr val="2D2D8A"/>
        </a:accent6>
        <a:hlink>
          <a:srgbClr val="009999"/>
        </a:hlink>
        <a:folHlink>
          <a:srgbClr val="99CC00"/>
        </a:folHlink>
      </a:clrScheme>
      <a:clrMap bg1="lt1" tx1="dk1" bg2="lt2" tx2="dk2" accent1="accent1" accent2="accent2" accent3="accent3" accent4="accent4" accent5="accent5" accent6="accent6" hlink="hlink" folHlink="folHlink"/>
    </a:extraClrScheme>
    <a:extraClrScheme>
      <a:clrScheme name="Blank Presentation 2">
        <a:dk1>
          <a:srgbClr val="000000"/>
        </a:dk1>
        <a:lt1>
          <a:srgbClr val="FFFFFF"/>
        </a:lt1>
        <a:dk2>
          <a:srgbClr val="000000"/>
        </a:dk2>
        <a:lt2>
          <a:srgbClr val="969696"/>
        </a:lt2>
        <a:accent1>
          <a:srgbClr val="FBDF53"/>
        </a:accent1>
        <a:accent2>
          <a:srgbClr val="FF9966"/>
        </a:accent2>
        <a:accent3>
          <a:srgbClr val="FFFFFF"/>
        </a:accent3>
        <a:accent4>
          <a:srgbClr val="000000"/>
        </a:accent4>
        <a:accent5>
          <a:srgbClr val="FDECB3"/>
        </a:accent5>
        <a:accent6>
          <a:srgbClr val="E78A5C"/>
        </a:accent6>
        <a:hlink>
          <a:srgbClr val="CC3300"/>
        </a:hlink>
        <a:folHlink>
          <a:srgbClr val="996600"/>
        </a:folHlink>
      </a:clrScheme>
      <a:clrMap bg1="lt1" tx1="dk1" bg2="lt2" tx2="dk2" accent1="accent1" accent2="accent2" accent3="accent3" accent4="accent4" accent5="accent5" accent6="accent6" hlink="hlink" folHlink="folHlink"/>
    </a:extraClrScheme>
    <a:extraClrScheme>
      <a:clrScheme name="Blank Presentation 3">
        <a:dk1>
          <a:srgbClr val="000000"/>
        </a:dk1>
        <a:lt1>
          <a:srgbClr val="FFFFFF"/>
        </a:lt1>
        <a:dk2>
          <a:srgbClr val="000000"/>
        </a:dk2>
        <a:lt2>
          <a:srgbClr val="808080"/>
        </a:lt2>
        <a:accent1>
          <a:srgbClr val="99CCFF"/>
        </a:accent1>
        <a:accent2>
          <a:srgbClr val="CCCCFF"/>
        </a:accent2>
        <a:accent3>
          <a:srgbClr val="FFFFFF"/>
        </a:accent3>
        <a:accent4>
          <a:srgbClr val="000000"/>
        </a:accent4>
        <a:accent5>
          <a:srgbClr val="CAE2FF"/>
        </a:accent5>
        <a:accent6>
          <a:srgbClr val="B9B9E7"/>
        </a:accent6>
        <a:hlink>
          <a:srgbClr val="3333CC"/>
        </a:hlink>
        <a:folHlink>
          <a:srgbClr val="AF67FF"/>
        </a:folHlink>
      </a:clrScheme>
      <a:clrMap bg1="lt1" tx1="dk1" bg2="lt2" tx2="dk2" accent1="accent1" accent2="accent2" accent3="accent3" accent4="accent4" accent5="accent5" accent6="accent6" hlink="hlink" folHlink="folHlink"/>
    </a:extraClrScheme>
    <a:extraClrScheme>
      <a:clrScheme name="Blank Presentation 4">
        <a:dk1>
          <a:srgbClr val="000000"/>
        </a:dk1>
        <a:lt1>
          <a:srgbClr val="DEF6F1"/>
        </a:lt1>
        <a:dk2>
          <a:srgbClr val="000000"/>
        </a:dk2>
        <a:lt2>
          <a:srgbClr val="969696"/>
        </a:lt2>
        <a:accent1>
          <a:srgbClr val="FFFFFF"/>
        </a:accent1>
        <a:accent2>
          <a:srgbClr val="8DC6FF"/>
        </a:accent2>
        <a:accent3>
          <a:srgbClr val="ECFAF7"/>
        </a:accent3>
        <a:accent4>
          <a:srgbClr val="000000"/>
        </a:accent4>
        <a:accent5>
          <a:srgbClr val="FFFFFF"/>
        </a:accent5>
        <a:accent6>
          <a:srgbClr val="7FB3E7"/>
        </a:accent6>
        <a:hlink>
          <a:srgbClr val="0066CC"/>
        </a:hlink>
        <a:folHlink>
          <a:srgbClr val="00A800"/>
        </a:folHlink>
      </a:clrScheme>
      <a:clrMap bg1="lt1" tx1="dk1" bg2="lt2" tx2="dk2" accent1="accent1" accent2="accent2" accent3="accent3" accent4="accent4" accent5="accent5" accent6="accent6" hlink="hlink" folHlink="folHlink"/>
    </a:extraClrScheme>
    <a:extraClrScheme>
      <a:clrScheme name="Blank Presentation 5">
        <a:dk1>
          <a:srgbClr val="000000"/>
        </a:dk1>
        <a:lt1>
          <a:srgbClr val="FFFFD9"/>
        </a:lt1>
        <a:dk2>
          <a:srgbClr val="000000"/>
        </a:dk2>
        <a:lt2>
          <a:srgbClr val="777777"/>
        </a:lt2>
        <a:accent1>
          <a:srgbClr val="FFFFF7"/>
        </a:accent1>
        <a:accent2>
          <a:srgbClr val="33CCCC"/>
        </a:accent2>
        <a:accent3>
          <a:srgbClr val="FFFFE9"/>
        </a:accent3>
        <a:accent4>
          <a:srgbClr val="000000"/>
        </a:accent4>
        <a:accent5>
          <a:srgbClr val="FFFFFA"/>
        </a:accent5>
        <a:accent6>
          <a:srgbClr val="2DB9B9"/>
        </a:accent6>
        <a:hlink>
          <a:srgbClr val="FF5050"/>
        </a:hlink>
        <a:folHlink>
          <a:srgbClr val="FF9900"/>
        </a:folHlink>
      </a:clrScheme>
      <a:clrMap bg1="lt1" tx1="dk1" bg2="lt2" tx2="dk2" accent1="accent1" accent2="accent2" accent3="accent3" accent4="accent4" accent5="accent5" accent6="accent6" hlink="hlink" folHlink="folHlink"/>
    </a:extraClrScheme>
    <a:extraClrScheme>
      <a:clrScheme name="Blank Presentation 6">
        <a:dk1>
          <a:srgbClr val="005A58"/>
        </a:dk1>
        <a:lt1>
          <a:srgbClr val="FFFFFF"/>
        </a:lt1>
        <a:dk2>
          <a:srgbClr val="008080"/>
        </a:dk2>
        <a:lt2>
          <a:srgbClr val="FFFF99"/>
        </a:lt2>
        <a:accent1>
          <a:srgbClr val="006462"/>
        </a:accent1>
        <a:accent2>
          <a:srgbClr val="6D6FC7"/>
        </a:accent2>
        <a:accent3>
          <a:srgbClr val="AAC0C0"/>
        </a:accent3>
        <a:accent4>
          <a:srgbClr val="DADADA"/>
        </a:accent4>
        <a:accent5>
          <a:srgbClr val="AAB8B7"/>
        </a:accent5>
        <a:accent6>
          <a:srgbClr val="6264B4"/>
        </a:accent6>
        <a:hlink>
          <a:srgbClr val="00FFFF"/>
        </a:hlink>
        <a:folHlink>
          <a:srgbClr val="00FF00"/>
        </a:folHlink>
      </a:clrScheme>
      <a:clrMap bg1="dk2" tx1="lt1" bg2="dk1" tx2="lt2" accent1="accent1" accent2="accent2" accent3="accent3" accent4="accent4" accent5="accent5" accent6="accent6" hlink="hlink" folHlink="folHlink"/>
    </a:extraClrScheme>
    <a:extraClrScheme>
      <a:clrScheme name="Blank Presentation 7">
        <a:dk1>
          <a:srgbClr val="5C1F00"/>
        </a:dk1>
        <a:lt1>
          <a:srgbClr val="FFFFFF"/>
        </a:lt1>
        <a:dk2>
          <a:srgbClr val="800000"/>
        </a:dk2>
        <a:lt2>
          <a:srgbClr val="DFD293"/>
        </a:lt2>
        <a:accent1>
          <a:srgbClr val="713E39"/>
        </a:accent1>
        <a:accent2>
          <a:srgbClr val="BE7960"/>
        </a:accent2>
        <a:accent3>
          <a:srgbClr val="C0AAAA"/>
        </a:accent3>
        <a:accent4>
          <a:srgbClr val="DADADA"/>
        </a:accent4>
        <a:accent5>
          <a:srgbClr val="BBAFAE"/>
        </a:accent5>
        <a:accent6>
          <a:srgbClr val="AC6D56"/>
        </a:accent6>
        <a:hlink>
          <a:srgbClr val="FFFF99"/>
        </a:hlink>
        <a:folHlink>
          <a:srgbClr val="D3A219"/>
        </a:folHlink>
      </a:clrScheme>
      <a:clrMap bg1="dk2" tx1="lt1" bg2="dk1" tx2="lt2" accent1="accent1" accent2="accent2" accent3="accent3" accent4="accent4" accent5="accent5" accent6="accent6" hlink="hlink" folHlink="folHlink"/>
    </a:extraClrScheme>
    <a:extraClrScheme>
      <a:clrScheme name="Blank Presentation 8">
        <a:dk1>
          <a:srgbClr val="003366"/>
        </a:dk1>
        <a:lt1>
          <a:srgbClr val="FFFFFF"/>
        </a:lt1>
        <a:dk2>
          <a:srgbClr val="000099"/>
        </a:dk2>
        <a:lt2>
          <a:srgbClr val="CCFFFF"/>
        </a:lt2>
        <a:accent1>
          <a:srgbClr val="3366CC"/>
        </a:accent1>
        <a:accent2>
          <a:srgbClr val="00B000"/>
        </a:accent2>
        <a:accent3>
          <a:srgbClr val="AAAACA"/>
        </a:accent3>
        <a:accent4>
          <a:srgbClr val="DADADA"/>
        </a:accent4>
        <a:accent5>
          <a:srgbClr val="ADB8E2"/>
        </a:accent5>
        <a:accent6>
          <a:srgbClr val="009F00"/>
        </a:accent6>
        <a:hlink>
          <a:srgbClr val="66CCFF"/>
        </a:hlink>
        <a:folHlink>
          <a:srgbClr val="FFE701"/>
        </a:folHlink>
      </a:clrScheme>
      <a:clrMap bg1="dk2" tx1="lt1" bg2="dk1" tx2="lt2" accent1="accent1" accent2="accent2" accent3="accent3" accent4="accent4" accent5="accent5" accent6="accent6" hlink="hlink" folHlink="folHlink"/>
    </a:extraClrScheme>
    <a:extraClrScheme>
      <a:clrScheme name="Blank Presentation 9">
        <a:dk1>
          <a:srgbClr val="336699"/>
        </a:dk1>
        <a:lt1>
          <a:srgbClr val="FFFFFF"/>
        </a:lt1>
        <a:dk2>
          <a:srgbClr val="000000"/>
        </a:dk2>
        <a:lt2>
          <a:srgbClr val="E3EBF1"/>
        </a:lt2>
        <a:accent1>
          <a:srgbClr val="003399"/>
        </a:accent1>
        <a:accent2>
          <a:srgbClr val="468A4B"/>
        </a:accent2>
        <a:accent3>
          <a:srgbClr val="AAAAAA"/>
        </a:accent3>
        <a:accent4>
          <a:srgbClr val="DADADA"/>
        </a:accent4>
        <a:accent5>
          <a:srgbClr val="AAADCA"/>
        </a:accent5>
        <a:accent6>
          <a:srgbClr val="3F7D43"/>
        </a:accent6>
        <a:hlink>
          <a:srgbClr val="66CCFF"/>
        </a:hlink>
        <a:folHlink>
          <a:srgbClr val="F0E500"/>
        </a:folHlink>
      </a:clrScheme>
      <a:clrMap bg1="dk2" tx1="lt1" bg2="dk1" tx2="lt2" accent1="accent1" accent2="accent2" accent3="accent3" accent4="accent4" accent5="accent5" accent6="accent6" hlink="hlink" folHlink="folHlink"/>
    </a:extraClrScheme>
    <a:extraClrScheme>
      <a:clrScheme name="Blank Presentation 10">
        <a:dk1>
          <a:srgbClr val="777777"/>
        </a:dk1>
        <a:lt1>
          <a:srgbClr val="FFFFFF"/>
        </a:lt1>
        <a:dk2>
          <a:srgbClr val="686B5D"/>
        </a:dk2>
        <a:lt2>
          <a:srgbClr val="D1D1CB"/>
        </a:lt2>
        <a:accent1>
          <a:srgbClr val="909082"/>
        </a:accent1>
        <a:accent2>
          <a:srgbClr val="809EA8"/>
        </a:accent2>
        <a:accent3>
          <a:srgbClr val="B9BAB6"/>
        </a:accent3>
        <a:accent4>
          <a:srgbClr val="DADADA"/>
        </a:accent4>
        <a:accent5>
          <a:srgbClr val="C6C6C1"/>
        </a:accent5>
        <a:accent6>
          <a:srgbClr val="738F98"/>
        </a:accent6>
        <a:hlink>
          <a:srgbClr val="FFCC66"/>
        </a:hlink>
        <a:folHlink>
          <a:srgbClr val="E9DCB9"/>
        </a:folHlink>
      </a:clrScheme>
      <a:clrMap bg1="dk2" tx1="lt1" bg2="dk1" tx2="lt2" accent1="accent1" accent2="accent2" accent3="accent3" accent4="accent4" accent5="accent5" accent6="accent6" hlink="hlink" folHlink="folHlink"/>
    </a:extraClrScheme>
    <a:extraClrScheme>
      <a:clrScheme name="Blank Presentation 11">
        <a:dk1>
          <a:srgbClr val="3E3E5C"/>
        </a:dk1>
        <a:lt1>
          <a:srgbClr val="FFFFFF"/>
        </a:lt1>
        <a:dk2>
          <a:srgbClr val="666699"/>
        </a:dk2>
        <a:lt2>
          <a:srgbClr val="FFFFFF"/>
        </a:lt2>
        <a:accent1>
          <a:srgbClr val="60597B"/>
        </a:accent1>
        <a:accent2>
          <a:srgbClr val="6666FF"/>
        </a:accent2>
        <a:accent3>
          <a:srgbClr val="B8B8CA"/>
        </a:accent3>
        <a:accent4>
          <a:srgbClr val="DADADA"/>
        </a:accent4>
        <a:accent5>
          <a:srgbClr val="B6B5BF"/>
        </a:accent5>
        <a:accent6>
          <a:srgbClr val="5C5CE7"/>
        </a:accent6>
        <a:hlink>
          <a:srgbClr val="99CCFF"/>
        </a:hlink>
        <a:folHlink>
          <a:srgbClr val="FFFF99"/>
        </a:folHlink>
      </a:clrScheme>
      <a:clrMap bg1="dk2" tx1="lt1" bg2="dk1" tx2="lt2" accent1="accent1" accent2="accent2" accent3="accent3" accent4="accent4" accent5="accent5" accent6="accent6" hlink="hlink" folHlink="folHlink"/>
    </a:extraClrScheme>
    <a:extraClrScheme>
      <a:clrScheme name="Blank Presentation 12">
        <a:dk1>
          <a:srgbClr val="2D2015"/>
        </a:dk1>
        <a:lt1>
          <a:srgbClr val="FFFFFF"/>
        </a:lt1>
        <a:dk2>
          <a:srgbClr val="523E26"/>
        </a:dk2>
        <a:lt2>
          <a:srgbClr val="DFC08D"/>
        </a:lt2>
        <a:accent1>
          <a:srgbClr val="8C7B70"/>
        </a:accent1>
        <a:accent2>
          <a:srgbClr val="8F5F2F"/>
        </a:accent2>
        <a:accent3>
          <a:srgbClr val="B3AFAC"/>
        </a:accent3>
        <a:accent4>
          <a:srgbClr val="DADADA"/>
        </a:accent4>
        <a:accent5>
          <a:srgbClr val="C5BFBB"/>
        </a:accent5>
        <a:accent6>
          <a:srgbClr val="81552A"/>
        </a:accent6>
        <a:hlink>
          <a:srgbClr val="CCB400"/>
        </a:hlink>
        <a:folHlink>
          <a:srgbClr val="8C9EA0"/>
        </a:folHlink>
      </a:clrScheme>
      <a:clrMap bg1="dk2" tx1="lt1" bg2="dk1" tx2="lt2" accent1="accent1" accent2="accent2" accent3="accent3" accent4="accent4" accent5="accent5" accent6="accent6" hlink="hlink" folHlink="folHlink"/>
    </a:extraClrScheme>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2011-12-01T00:00:00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FB0A4B1B-A4BA-4510-B792-9E6A045798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EIA_Northeastern_Winter_Energy_Alert</Template>
  <TotalTime>0</TotalTime>
  <Pages>2</Pages>
  <Words>561</Words>
  <Characters>3201</Characters>
  <Application>Microsoft Office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Improving the Quality and Scope of EIA Data</vt:lpstr>
    </vt:vector>
  </TitlesOfParts>
  <Company/>
  <LinksUpToDate>false</LinksUpToDate>
  <CharactersWithSpaces>3755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Improving the Quality and Scope of EIA Data</dc:title>
  <dc:subject>Improving the Quality and Scope of EIA Data</dc:subject>
  <dc:creator>Coyle, Allison</dc:creator>
  <cp:keywords/>
  <dc:description/>
  <cp:lastModifiedBy>Lau, Vivian</cp:lastModifiedBy>
  <cp:revision>2</cp:revision>
  <cp:lastPrinted>2011-12-12T20:42:00Z</cp:lastPrinted>
  <dcterms:created xsi:type="dcterms:W3CDTF">2018-01-08T16:14:00Z</dcterms:created>
  <dcterms:modified xsi:type="dcterms:W3CDTF">2018-01-08T16:14:00Z</dcterms:modified>
</cp:coreProperties>
</file>