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1C4" w:rsidRPr="00373208" w:rsidRDefault="003360E8" w:rsidP="000831C4">
      <w:pPr>
        <w:pStyle w:val="Heading1"/>
        <w:numPr>
          <w:ilvl w:val="0"/>
          <w:numId w:val="0"/>
        </w:numPr>
      </w:pPr>
      <w:r>
        <w:t>Northeastern Winter Energy Alert</w:t>
      </w:r>
    </w:p>
    <w:p w:rsidR="002B15E5" w:rsidRPr="002B15E5" w:rsidRDefault="002B15E5" w:rsidP="003360E8">
      <w:pPr>
        <w:pStyle w:val="NormalWeb"/>
        <w:rPr>
          <w:rStyle w:val="Strong"/>
          <w:rFonts w:asciiTheme="minorHAnsi" w:eastAsiaTheme="majorEastAsia" w:hAnsiTheme="minorHAnsi"/>
          <w:sz w:val="22"/>
          <w:szCs w:val="22"/>
        </w:rPr>
      </w:pPr>
      <w:r w:rsidRPr="002B15E5">
        <w:rPr>
          <w:rStyle w:val="Strong"/>
          <w:rFonts w:asciiTheme="minorHAnsi" w:eastAsiaTheme="majorEastAsia" w:hAnsiTheme="minorHAnsi"/>
          <w:sz w:val="22"/>
          <w:szCs w:val="22"/>
        </w:rPr>
        <w:t>Moderating temperatures contribute to lower natural gas consumption and lower spot natural gas and electricity prices</w:t>
      </w:r>
    </w:p>
    <w:p w:rsidR="003360E8" w:rsidRPr="003360E8"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Temperature: </w:t>
      </w:r>
      <w:r w:rsidR="002B15E5" w:rsidRPr="002B15E5">
        <w:rPr>
          <w:rFonts w:asciiTheme="minorHAnsi" w:hAnsiTheme="minorHAnsi"/>
          <w:sz w:val="22"/>
          <w:szCs w:val="22"/>
        </w:rPr>
        <w:t>Northeast temperatures on January 8 are about 8—12 degrees colder than normal, but a major warm-up is e</w:t>
      </w:r>
      <w:r w:rsidR="002B15E5" w:rsidRPr="002B15E5">
        <w:rPr>
          <w:rFonts w:asciiTheme="minorHAnsi" w:hAnsiTheme="minorHAnsi"/>
          <w:sz w:val="22"/>
          <w:szCs w:val="22"/>
        </w:rPr>
        <w:t>xpected by the end of the week.</w:t>
      </w:r>
      <w:r w:rsidRPr="002B15E5">
        <w:rPr>
          <w:rFonts w:asciiTheme="minorHAnsi" w:hAnsiTheme="minorHAnsi"/>
          <w:sz w:val="22"/>
          <w:szCs w:val="22"/>
        </w:rPr>
        <w:t xml:space="preserve"> </w:t>
      </w:r>
    </w:p>
    <w:p w:rsidR="003360E8" w:rsidRPr="003360E8"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Natural gas demand: </w:t>
      </w:r>
      <w:r w:rsidR="002B15E5" w:rsidRPr="002B15E5">
        <w:rPr>
          <w:rFonts w:asciiTheme="minorHAnsi" w:hAnsiTheme="minorHAnsi"/>
          <w:sz w:val="22"/>
          <w:szCs w:val="22"/>
        </w:rPr>
        <w:t>S&amp;P Global estimates regional natural gas demand in New England and New York City will be about 8.3 billion cubic feet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on January 8, down from 9.4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on January 6. On January 8, New York City’s estimated natural gas consumption was down about 1.0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from January 6, but it still remains above normal levels according to S&amp;P Global.</w:t>
      </w:r>
    </w:p>
    <w:p w:rsidR="003360E8" w:rsidRPr="002B15E5"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Natural gas constraints and LNG: </w:t>
      </w:r>
      <w:r w:rsidR="002B15E5" w:rsidRPr="002B15E5">
        <w:rPr>
          <w:rFonts w:asciiTheme="minorHAnsi" w:hAnsiTheme="minorHAnsi"/>
          <w:sz w:val="22"/>
          <w:szCs w:val="22"/>
        </w:rPr>
        <w:t xml:space="preserve">Most of the major pipelines delivering natural gas into New England indicate average utilization above 95% on January 8. Falling loads in New York City have reduced natural gas deliveries on some pipelines, but Transco is still very constrained. Deliveries from LNG facilities in the Northeastern United States and Eastern Canada topped 1.3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on January 8, down from a seasonal high of 2.0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on January 6. The contribution of LNG to regional supply has averaged about 1.6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per day so far in 2018 compared to 0.7 </w:t>
      </w:r>
      <w:proofErr w:type="spellStart"/>
      <w:r w:rsidR="002B15E5" w:rsidRPr="002B15E5">
        <w:rPr>
          <w:rFonts w:asciiTheme="minorHAnsi" w:hAnsiTheme="minorHAnsi"/>
          <w:sz w:val="22"/>
          <w:szCs w:val="22"/>
        </w:rPr>
        <w:t>Bcf</w:t>
      </w:r>
      <w:proofErr w:type="spellEnd"/>
      <w:r w:rsidR="002B15E5" w:rsidRPr="002B15E5">
        <w:rPr>
          <w:rFonts w:asciiTheme="minorHAnsi" w:hAnsiTheme="minorHAnsi"/>
          <w:sz w:val="22"/>
          <w:szCs w:val="22"/>
        </w:rPr>
        <w:t xml:space="preserve"> per day for the same period in 2017. The Everett and </w:t>
      </w:r>
      <w:proofErr w:type="spellStart"/>
      <w:r w:rsidR="002B15E5" w:rsidRPr="002B15E5">
        <w:rPr>
          <w:rFonts w:asciiTheme="minorHAnsi" w:hAnsiTheme="minorHAnsi"/>
          <w:sz w:val="22"/>
          <w:szCs w:val="22"/>
        </w:rPr>
        <w:t>Canaport</w:t>
      </w:r>
      <w:proofErr w:type="spellEnd"/>
      <w:r w:rsidR="002B15E5" w:rsidRPr="002B15E5">
        <w:rPr>
          <w:rFonts w:asciiTheme="minorHAnsi" w:hAnsiTheme="minorHAnsi"/>
          <w:sz w:val="22"/>
          <w:szCs w:val="22"/>
        </w:rPr>
        <w:t xml:space="preserve"> terminals received cargoes on January 4 and January 3, respectively. </w:t>
      </w:r>
    </w:p>
    <w:p w:rsidR="003360E8" w:rsidRPr="003360E8"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Storage activity: </w:t>
      </w:r>
      <w:r w:rsidR="002B15E5" w:rsidRPr="002B15E5">
        <w:rPr>
          <w:rFonts w:asciiTheme="minorHAnsi" w:eastAsiaTheme="minorHAnsi" w:hAnsiTheme="minorHAnsi" w:cstheme="minorBidi"/>
          <w:sz w:val="22"/>
          <w:szCs w:val="22"/>
        </w:rPr>
        <w:t>Last week, EIA reported that the </w:t>
      </w:r>
      <w:hyperlink r:id="rId9" w:anchor="threeregion" w:history="1">
        <w:r w:rsidR="002B15E5" w:rsidRPr="002B15E5">
          <w:rPr>
            <w:rFonts w:asciiTheme="minorHAnsi" w:eastAsiaTheme="minorHAnsi" w:hAnsiTheme="minorHAnsi" w:cstheme="minorBidi"/>
            <w:color w:val="0000FF"/>
            <w:sz w:val="22"/>
            <w:szCs w:val="22"/>
            <w:u w:val="single"/>
          </w:rPr>
          <w:t>East Region</w:t>
        </w:r>
      </w:hyperlink>
      <w:r w:rsidR="002B15E5" w:rsidRPr="002B15E5">
        <w:rPr>
          <w:rFonts w:asciiTheme="minorHAnsi" w:eastAsiaTheme="minorHAnsi" w:hAnsiTheme="minorHAnsi" w:cstheme="minorBidi"/>
          <w:sz w:val="22"/>
          <w:szCs w:val="22"/>
        </w:rPr>
        <w:t xml:space="preserve"> (including states from Maine to Florida) stocks of working natural gas were 740 </w:t>
      </w:r>
      <w:proofErr w:type="spellStart"/>
      <w:r w:rsidR="002B15E5" w:rsidRPr="002B15E5">
        <w:rPr>
          <w:rFonts w:asciiTheme="minorHAnsi" w:eastAsiaTheme="minorHAnsi" w:hAnsiTheme="minorHAnsi" w:cstheme="minorBidi"/>
          <w:sz w:val="22"/>
          <w:szCs w:val="22"/>
        </w:rPr>
        <w:t>Bcf</w:t>
      </w:r>
      <w:proofErr w:type="spellEnd"/>
      <w:r w:rsidR="002B15E5" w:rsidRPr="002B15E5">
        <w:rPr>
          <w:rFonts w:asciiTheme="minorHAnsi" w:eastAsiaTheme="minorHAnsi" w:hAnsiTheme="minorHAnsi" w:cstheme="minorBidi"/>
          <w:sz w:val="22"/>
          <w:szCs w:val="22"/>
        </w:rPr>
        <w:t xml:space="preserve"> as of December 29, the same level as one year ago at this time and about 5% lower than the five-year average. EIA’s next weekly storage report will be published on January 11 and covers the week ending January 5.</w:t>
      </w:r>
    </w:p>
    <w:p w:rsidR="003360E8" w:rsidRPr="003360E8"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Natural gas prices: </w:t>
      </w:r>
      <w:r w:rsidR="002B15E5" w:rsidRPr="002B15E5">
        <w:rPr>
          <w:rFonts w:asciiTheme="minorHAnsi" w:hAnsiTheme="minorHAnsi"/>
          <w:sz w:val="22"/>
          <w:szCs w:val="22"/>
        </w:rPr>
        <w:t>New York City set its all-time high, spot natural gas price ($140.25/million British thermal units (MMBtu) in non-inflation adjusted dollars) on January 5. Prices for January 8 settled at about $20/MMBtu in Boston and about $13/MMBtu in New York City, with both prices down sharply from January 5. The spot natural gas price at Henry Hub settled at $2.882/MMBtu on January 8, down about 38% from January 5.  </w:t>
      </w:r>
    </w:p>
    <w:p w:rsidR="003360E8" w:rsidRPr="003360E8"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Electricity prices:</w:t>
      </w:r>
      <w:r w:rsidRPr="003360E8">
        <w:rPr>
          <w:rFonts w:asciiTheme="minorHAnsi" w:hAnsiTheme="minorHAnsi"/>
          <w:sz w:val="22"/>
          <w:szCs w:val="22"/>
        </w:rPr>
        <w:t xml:space="preserve"> </w:t>
      </w:r>
      <w:r w:rsidR="002B15E5" w:rsidRPr="002B15E5">
        <w:rPr>
          <w:rFonts w:asciiTheme="minorHAnsi" w:hAnsiTheme="minorHAnsi"/>
          <w:sz w:val="22"/>
          <w:szCs w:val="22"/>
        </w:rPr>
        <w:t>SNL’s on-peak electricity prices for January 8 are $121/</w:t>
      </w:r>
      <w:proofErr w:type="spellStart"/>
      <w:r w:rsidR="002B15E5" w:rsidRPr="002B15E5">
        <w:rPr>
          <w:rFonts w:asciiTheme="minorHAnsi" w:hAnsiTheme="minorHAnsi"/>
          <w:sz w:val="22"/>
          <w:szCs w:val="22"/>
        </w:rPr>
        <w:t>megawatthour</w:t>
      </w:r>
      <w:proofErr w:type="spellEnd"/>
      <w:r w:rsidR="002B15E5" w:rsidRPr="002B15E5">
        <w:rPr>
          <w:rFonts w:asciiTheme="minorHAnsi" w:hAnsiTheme="minorHAnsi"/>
          <w:sz w:val="22"/>
          <w:szCs w:val="22"/>
        </w:rPr>
        <w:t xml:space="preserve"> (MWh) in New York City and $151/MWh in New England, down 50% from on-peak prices for January 5. The Pilgrim Nuclear Generating Station in Massachusetts is currently offline.</w:t>
      </w:r>
    </w:p>
    <w:p w:rsidR="003360E8" w:rsidRPr="002B15E5" w:rsidRDefault="003360E8" w:rsidP="003360E8">
      <w:pPr>
        <w:pStyle w:val="NormalWeb"/>
        <w:rPr>
          <w:rFonts w:asciiTheme="minorHAnsi" w:hAnsiTheme="minorHAnsi"/>
          <w:sz w:val="22"/>
          <w:szCs w:val="22"/>
        </w:rPr>
      </w:pPr>
      <w:r w:rsidRPr="003360E8">
        <w:rPr>
          <w:rStyle w:val="Strong"/>
          <w:rFonts w:asciiTheme="minorHAnsi" w:hAnsiTheme="minorHAnsi"/>
          <w:sz w:val="22"/>
          <w:szCs w:val="22"/>
        </w:rPr>
        <w:t xml:space="preserve">Pipeline notices: </w:t>
      </w:r>
      <w:r w:rsidR="002B15E5" w:rsidRPr="002B15E5">
        <w:rPr>
          <w:rFonts w:asciiTheme="minorHAnsi" w:hAnsiTheme="minorHAnsi"/>
          <w:sz w:val="22"/>
          <w:szCs w:val="22"/>
        </w:rPr>
        <w:t>Many natural gas pipelines have issued operational flow orders and critical notices advising their customers to carefully manage the amount of natural gas transportation capacity they use relative to what they requested or scheduled per contractual rights, or they will be subject to possible penalties. Interruptible transportation service is highly restricted throughout the region. </w:t>
      </w:r>
      <w:bookmarkStart w:id="0" w:name="_GoBack"/>
      <w:bookmarkEnd w:id="0"/>
    </w:p>
    <w:p w:rsidR="00EB4ED7" w:rsidRDefault="00EB4ED7">
      <w:pPr>
        <w:spacing w:line="240" w:lineRule="auto"/>
        <w:rPr>
          <w:rStyle w:val="Strong"/>
          <w:rFonts w:eastAsia="Times New Roman" w:cs="Times New Roman"/>
        </w:rPr>
      </w:pPr>
      <w:r>
        <w:rPr>
          <w:rStyle w:val="Strong"/>
        </w:rPr>
        <w:br w:type="page"/>
      </w:r>
    </w:p>
    <w:p w:rsidR="000831C4" w:rsidRDefault="003360E8" w:rsidP="003360E8">
      <w:pPr>
        <w:pStyle w:val="NormalWeb"/>
      </w:pPr>
      <w:r w:rsidRPr="003360E8">
        <w:rPr>
          <w:rStyle w:val="Strong"/>
          <w:rFonts w:asciiTheme="minorHAnsi" w:hAnsiTheme="minorHAnsi"/>
          <w:sz w:val="22"/>
          <w:szCs w:val="22"/>
        </w:rPr>
        <w:lastRenderedPageBreak/>
        <w:t xml:space="preserve">Oil market: </w:t>
      </w:r>
      <w:r w:rsidR="002B15E5" w:rsidRPr="002B15E5">
        <w:rPr>
          <w:rFonts w:asciiTheme="minorHAnsi" w:eastAsiaTheme="minorHAnsi" w:hAnsiTheme="minorHAnsi" w:cstheme="minorBidi"/>
          <w:bCs/>
          <w:sz w:val="22"/>
          <w:szCs w:val="22"/>
        </w:rPr>
        <w:t>Given high spot natural gas prices, o</w:t>
      </w:r>
      <w:r w:rsidR="002B15E5" w:rsidRPr="002B15E5">
        <w:rPr>
          <w:rFonts w:asciiTheme="minorHAnsi" w:eastAsiaTheme="minorHAnsi" w:hAnsiTheme="minorHAnsi" w:cstheme="minorBidi"/>
          <w:sz w:val="22"/>
          <w:szCs w:val="22"/>
        </w:rPr>
        <w:t xml:space="preserve">il-fired generation still accounted for more than 30% of the overall fuel mix in the New England Independent System Operator region on January 8. EIA’s current estimate of distillate stocks in the Northeast (combined Petroleum Administration for Defense Districts 1A and 1B) totaled 38.7 million barrels on December 29, 2017, 1.5 million barrels (4%) above the five-year average but 14.4 million barrels below year-ago levels. EIA’s next </w:t>
      </w:r>
      <w:hyperlink r:id="rId10" w:history="1">
        <w:r w:rsidR="002B15E5" w:rsidRPr="002B15E5">
          <w:rPr>
            <w:rFonts w:asciiTheme="minorHAnsi" w:eastAsiaTheme="minorHAnsi" w:hAnsiTheme="minorHAnsi" w:cstheme="minorBidi"/>
            <w:i/>
            <w:iCs/>
            <w:color w:val="0000FF"/>
            <w:sz w:val="22"/>
            <w:szCs w:val="22"/>
            <w:u w:val="single"/>
          </w:rPr>
          <w:t>weekly petroleum stock report</w:t>
        </w:r>
      </w:hyperlink>
      <w:r w:rsidR="002B15E5" w:rsidRPr="002B15E5">
        <w:rPr>
          <w:rFonts w:asciiTheme="minorHAnsi" w:eastAsiaTheme="minorHAnsi" w:hAnsiTheme="minorHAnsi" w:cstheme="minorBidi"/>
          <w:sz w:val="22"/>
          <w:szCs w:val="22"/>
        </w:rPr>
        <w:t xml:space="preserve"> will be published on January 10 and covers the week ending January 5. </w:t>
      </w:r>
    </w:p>
    <w:tbl>
      <w:tblPr>
        <w:tblStyle w:val="TableGrid"/>
        <w:tblW w:w="0" w:type="auto"/>
        <w:tblLook w:val="04A0" w:firstRow="1" w:lastRow="0" w:firstColumn="1" w:lastColumn="0" w:noHBand="0" w:noVBand="1"/>
      </w:tblPr>
      <w:tblGrid>
        <w:gridCol w:w="2340"/>
        <w:gridCol w:w="2340"/>
        <w:gridCol w:w="2340"/>
        <w:gridCol w:w="2340"/>
      </w:tblGrid>
      <w:tr w:rsidR="003360E8" w:rsidRPr="00EB4ED7" w:rsidTr="00336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rsidR="003360E8" w:rsidRPr="00EB4ED7" w:rsidRDefault="003360E8" w:rsidP="003360E8">
            <w:pPr>
              <w:rPr>
                <w:szCs w:val="18"/>
              </w:rPr>
            </w:pPr>
            <w:r w:rsidRPr="00EB4ED7">
              <w:rPr>
                <w:szCs w:val="18"/>
              </w:rPr>
              <w:t>Average temperature</w:t>
            </w:r>
          </w:p>
        </w:tc>
        <w:tc>
          <w:tcPr>
            <w:tcW w:w="2340" w:type="dxa"/>
          </w:tcPr>
          <w:p w:rsidR="003360E8" w:rsidRPr="00EB4ED7" w:rsidRDefault="002B15E5" w:rsidP="003360E8">
            <w:pPr>
              <w:cnfStyle w:val="100000000000" w:firstRow="1" w:lastRow="0" w:firstColumn="0" w:lastColumn="0" w:oddVBand="0" w:evenVBand="0" w:oddHBand="0" w:evenHBand="0" w:firstRowFirstColumn="0" w:firstRowLastColumn="0" w:lastRowFirstColumn="0" w:lastRowLastColumn="0"/>
              <w:rPr>
                <w:szCs w:val="18"/>
              </w:rPr>
            </w:pPr>
            <w:r>
              <w:rPr>
                <w:szCs w:val="18"/>
              </w:rPr>
              <w:t>Sat 1/6</w:t>
            </w:r>
          </w:p>
        </w:tc>
        <w:tc>
          <w:tcPr>
            <w:tcW w:w="2340" w:type="dxa"/>
          </w:tcPr>
          <w:p w:rsidR="003360E8" w:rsidRPr="00EB4ED7" w:rsidRDefault="002B15E5" w:rsidP="003360E8">
            <w:pPr>
              <w:cnfStyle w:val="100000000000" w:firstRow="1" w:lastRow="0" w:firstColumn="0" w:lastColumn="0" w:oddVBand="0" w:evenVBand="0" w:oddHBand="0" w:evenHBand="0" w:firstRowFirstColumn="0" w:firstRowLastColumn="0" w:lastRowFirstColumn="0" w:lastRowLastColumn="0"/>
              <w:rPr>
                <w:szCs w:val="18"/>
              </w:rPr>
            </w:pPr>
            <w:r>
              <w:rPr>
                <w:szCs w:val="18"/>
              </w:rPr>
              <w:t>Sun 1/7</w:t>
            </w:r>
          </w:p>
        </w:tc>
        <w:tc>
          <w:tcPr>
            <w:tcW w:w="2340" w:type="dxa"/>
          </w:tcPr>
          <w:p w:rsidR="003360E8" w:rsidRPr="00EB4ED7" w:rsidRDefault="002B15E5" w:rsidP="003360E8">
            <w:pPr>
              <w:cnfStyle w:val="100000000000" w:firstRow="1" w:lastRow="0" w:firstColumn="0" w:lastColumn="0" w:oddVBand="0" w:evenVBand="0" w:oddHBand="0" w:evenHBand="0" w:firstRowFirstColumn="0" w:firstRowLastColumn="0" w:lastRowFirstColumn="0" w:lastRowLastColumn="0"/>
              <w:rPr>
                <w:szCs w:val="18"/>
              </w:rPr>
            </w:pPr>
            <w:r>
              <w:rPr>
                <w:szCs w:val="18"/>
              </w:rPr>
              <w:t>Mon 1/8</w:t>
            </w:r>
          </w:p>
        </w:tc>
      </w:tr>
      <w:tr w:rsidR="003360E8" w:rsidRPr="00EB4ED7" w:rsidTr="0033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spacing w:line="240" w:lineRule="auto"/>
              <w:rPr>
                <w:szCs w:val="18"/>
              </w:rPr>
            </w:pPr>
            <w:r w:rsidRPr="00EB4ED7">
              <w:rPr>
                <w:szCs w:val="18"/>
              </w:rPr>
              <w:t>Boston</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9</w:t>
            </w:r>
            <w:r w:rsidR="003360E8" w:rsidRPr="00EB4ED7">
              <w:rPr>
                <w:szCs w:val="18"/>
              </w:rPr>
              <w:t>°F</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11</w:t>
            </w:r>
            <w:r w:rsidR="003360E8" w:rsidRPr="00EB4ED7">
              <w:rPr>
                <w:szCs w:val="18"/>
              </w:rPr>
              <w:t>°F</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b/>
                <w:i/>
                <w:szCs w:val="18"/>
              </w:rPr>
            </w:pPr>
            <w:r>
              <w:rPr>
                <w:rStyle w:val="Emphasis"/>
                <w:b w:val="0"/>
                <w:i/>
                <w:sz w:val="18"/>
                <w:szCs w:val="18"/>
              </w:rPr>
              <w:t>26</w:t>
            </w:r>
            <w:r w:rsidR="003360E8" w:rsidRPr="00EB4ED7">
              <w:rPr>
                <w:rStyle w:val="Emphasis"/>
                <w:b w:val="0"/>
                <w:i/>
                <w:sz w:val="18"/>
                <w:szCs w:val="18"/>
              </w:rPr>
              <w:t>°F</w:t>
            </w:r>
          </w:p>
        </w:tc>
      </w:tr>
      <w:tr w:rsidR="003360E8" w:rsidRPr="00EB4ED7" w:rsidTr="003360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spacing w:line="240" w:lineRule="auto"/>
              <w:rPr>
                <w:szCs w:val="18"/>
              </w:rPr>
            </w:pPr>
            <w:r w:rsidRPr="00EB4ED7">
              <w:rPr>
                <w:szCs w:val="18"/>
              </w:rPr>
              <w:t>New York City</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10</w:t>
            </w:r>
            <w:r w:rsidR="003360E8" w:rsidRPr="00EB4ED7">
              <w:rPr>
                <w:szCs w:val="18"/>
              </w:rPr>
              <w:t>°F</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12</w:t>
            </w:r>
            <w:r w:rsidR="003360E8" w:rsidRPr="00EB4ED7">
              <w:rPr>
                <w:szCs w:val="18"/>
              </w:rPr>
              <w:t>°F</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b/>
                <w:i/>
                <w:szCs w:val="18"/>
              </w:rPr>
            </w:pPr>
            <w:r>
              <w:rPr>
                <w:rStyle w:val="Emphasis"/>
                <w:b w:val="0"/>
                <w:i/>
                <w:sz w:val="18"/>
                <w:szCs w:val="18"/>
              </w:rPr>
              <w:t>32</w:t>
            </w:r>
            <w:r w:rsidR="003360E8" w:rsidRPr="00EB4ED7">
              <w:rPr>
                <w:rStyle w:val="Emphasis"/>
                <w:b w:val="0"/>
                <w:i/>
                <w:sz w:val="18"/>
                <w:szCs w:val="18"/>
              </w:rPr>
              <w:t>°F</w:t>
            </w:r>
          </w:p>
        </w:tc>
      </w:tr>
      <w:tr w:rsidR="002B15E5" w:rsidRPr="00EB4ED7" w:rsidTr="009C0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2B15E5" w:rsidRPr="00EB4ED7" w:rsidRDefault="002B15E5" w:rsidP="002B15E5">
            <w:pPr>
              <w:rPr>
                <w:b/>
                <w:szCs w:val="18"/>
              </w:rPr>
            </w:pPr>
            <w:r w:rsidRPr="00EB4ED7">
              <w:rPr>
                <w:b/>
                <w:szCs w:val="18"/>
              </w:rPr>
              <w:t>Natural gas demand</w:t>
            </w:r>
            <w:r w:rsidRPr="00EB4ED7">
              <w:rPr>
                <w:b/>
                <w:szCs w:val="18"/>
              </w:rPr>
              <w:br/>
            </w:r>
            <w:proofErr w:type="spellStart"/>
            <w:r w:rsidRPr="00EB4ED7">
              <w:rPr>
                <w:b/>
                <w:i/>
              </w:rPr>
              <w:t>Bcf</w:t>
            </w:r>
            <w:proofErr w:type="spellEnd"/>
            <w:r w:rsidRPr="00EB4ED7">
              <w:rPr>
                <w:b/>
                <w:i/>
              </w:rPr>
              <w:t xml:space="preserve"> per day</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Sat 1/6</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Sun 1/7</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Mon 1/8</w:t>
            </w:r>
          </w:p>
        </w:tc>
      </w:tr>
      <w:tr w:rsidR="003360E8" w:rsidRPr="00EB4ED7" w:rsidTr="003360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spacing w:line="240" w:lineRule="auto"/>
              <w:rPr>
                <w:szCs w:val="18"/>
              </w:rPr>
            </w:pPr>
            <w:r w:rsidRPr="00EB4ED7">
              <w:rPr>
                <w:szCs w:val="18"/>
              </w:rPr>
              <w:t>New England</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4.0</w:t>
            </w:r>
          </w:p>
        </w:tc>
        <w:tc>
          <w:tcPr>
            <w:tcW w:w="2340" w:type="dxa"/>
            <w:vAlign w:val="center"/>
          </w:tcPr>
          <w:p w:rsidR="003360E8" w:rsidRPr="00EB4ED7" w:rsidRDefault="003360E8" w:rsidP="003360E8">
            <w:pPr>
              <w:cnfStyle w:val="000000010000" w:firstRow="0" w:lastRow="0" w:firstColumn="0" w:lastColumn="0" w:oddVBand="0" w:evenVBand="0" w:oddHBand="0" w:evenHBand="1" w:firstRowFirstColumn="0" w:firstRowLastColumn="0" w:lastRowFirstColumn="0" w:lastRowLastColumn="0"/>
              <w:rPr>
                <w:szCs w:val="18"/>
              </w:rPr>
            </w:pPr>
            <w:r w:rsidRPr="00EB4ED7">
              <w:rPr>
                <w:szCs w:val="18"/>
              </w:rPr>
              <w:t>3.9</w:t>
            </w:r>
          </w:p>
        </w:tc>
        <w:tc>
          <w:tcPr>
            <w:tcW w:w="2340" w:type="dxa"/>
            <w:vAlign w:val="center"/>
          </w:tcPr>
          <w:p w:rsidR="003360E8" w:rsidRPr="00EB4ED7" w:rsidRDefault="003360E8" w:rsidP="003360E8">
            <w:pPr>
              <w:cnfStyle w:val="000000010000" w:firstRow="0" w:lastRow="0" w:firstColumn="0" w:lastColumn="0" w:oddVBand="0" w:evenVBand="0" w:oddHBand="0" w:evenHBand="1" w:firstRowFirstColumn="0" w:firstRowLastColumn="0" w:lastRowFirstColumn="0" w:lastRowLastColumn="0"/>
              <w:rPr>
                <w:b/>
                <w:i/>
                <w:szCs w:val="18"/>
              </w:rPr>
            </w:pPr>
            <w:r w:rsidRPr="00EB4ED7">
              <w:rPr>
                <w:rStyle w:val="Emphasis"/>
                <w:b w:val="0"/>
                <w:i/>
                <w:sz w:val="18"/>
                <w:szCs w:val="18"/>
              </w:rPr>
              <w:t>3.8</w:t>
            </w:r>
          </w:p>
        </w:tc>
      </w:tr>
      <w:tr w:rsidR="003360E8" w:rsidRPr="00EB4ED7" w:rsidTr="0033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rPr>
                <w:szCs w:val="18"/>
              </w:rPr>
            </w:pPr>
            <w:r w:rsidRPr="00EB4ED7">
              <w:rPr>
                <w:szCs w:val="18"/>
              </w:rPr>
              <w:t>New York City</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5.4</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5.3</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b/>
                <w:i/>
                <w:szCs w:val="18"/>
              </w:rPr>
            </w:pPr>
            <w:r>
              <w:rPr>
                <w:rStyle w:val="Emphasis"/>
                <w:b w:val="0"/>
                <w:i/>
                <w:sz w:val="18"/>
                <w:szCs w:val="18"/>
              </w:rPr>
              <w:t>4.5</w:t>
            </w:r>
          </w:p>
        </w:tc>
      </w:tr>
      <w:tr w:rsidR="002B15E5" w:rsidRPr="00EB4ED7" w:rsidTr="00065E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2B15E5" w:rsidRPr="00EB4ED7" w:rsidRDefault="002B15E5" w:rsidP="002B15E5">
            <w:pPr>
              <w:rPr>
                <w:b/>
                <w:szCs w:val="18"/>
              </w:rPr>
            </w:pPr>
            <w:r w:rsidRPr="00EB4ED7">
              <w:rPr>
                <w:b/>
                <w:szCs w:val="18"/>
              </w:rPr>
              <w:t>Spot natural gas price*</w:t>
            </w:r>
            <w:r w:rsidRPr="00EB4ED7">
              <w:rPr>
                <w:b/>
                <w:szCs w:val="18"/>
              </w:rPr>
              <w:br/>
            </w:r>
            <w:r w:rsidRPr="00EB4ED7">
              <w:rPr>
                <w:rStyle w:val="Emphasis"/>
                <w:i/>
                <w:sz w:val="18"/>
                <w:szCs w:val="18"/>
              </w:rPr>
              <w:t>per MMBtu</w:t>
            </w:r>
          </w:p>
        </w:tc>
        <w:tc>
          <w:tcPr>
            <w:tcW w:w="2340" w:type="dxa"/>
          </w:tcPr>
          <w:p w:rsidR="002B15E5" w:rsidRPr="002B15E5" w:rsidRDefault="002B15E5" w:rsidP="002B15E5">
            <w:pPr>
              <w:cnfStyle w:val="000000010000" w:firstRow="0" w:lastRow="0" w:firstColumn="0" w:lastColumn="0" w:oddVBand="0" w:evenVBand="0" w:oddHBand="0" w:evenHBand="1" w:firstRowFirstColumn="0" w:firstRowLastColumn="0" w:lastRowFirstColumn="0" w:lastRowLastColumn="0"/>
              <w:rPr>
                <w:b/>
                <w:szCs w:val="18"/>
              </w:rPr>
            </w:pPr>
            <w:r w:rsidRPr="002B15E5">
              <w:rPr>
                <w:b/>
                <w:szCs w:val="18"/>
              </w:rPr>
              <w:t>Sat 1/6</w:t>
            </w:r>
          </w:p>
        </w:tc>
        <w:tc>
          <w:tcPr>
            <w:tcW w:w="2340" w:type="dxa"/>
          </w:tcPr>
          <w:p w:rsidR="002B15E5" w:rsidRPr="002B15E5" w:rsidRDefault="002B15E5" w:rsidP="002B15E5">
            <w:pPr>
              <w:cnfStyle w:val="000000010000" w:firstRow="0" w:lastRow="0" w:firstColumn="0" w:lastColumn="0" w:oddVBand="0" w:evenVBand="0" w:oddHBand="0" w:evenHBand="1" w:firstRowFirstColumn="0" w:firstRowLastColumn="0" w:lastRowFirstColumn="0" w:lastRowLastColumn="0"/>
              <w:rPr>
                <w:b/>
                <w:szCs w:val="18"/>
              </w:rPr>
            </w:pPr>
            <w:r w:rsidRPr="002B15E5">
              <w:rPr>
                <w:b/>
                <w:szCs w:val="18"/>
              </w:rPr>
              <w:t>Sun 1/7</w:t>
            </w:r>
          </w:p>
        </w:tc>
        <w:tc>
          <w:tcPr>
            <w:tcW w:w="2340" w:type="dxa"/>
          </w:tcPr>
          <w:p w:rsidR="002B15E5" w:rsidRPr="002B15E5" w:rsidRDefault="002B15E5" w:rsidP="002B15E5">
            <w:pPr>
              <w:cnfStyle w:val="000000010000" w:firstRow="0" w:lastRow="0" w:firstColumn="0" w:lastColumn="0" w:oddVBand="0" w:evenVBand="0" w:oddHBand="0" w:evenHBand="1" w:firstRowFirstColumn="0" w:firstRowLastColumn="0" w:lastRowFirstColumn="0" w:lastRowLastColumn="0"/>
              <w:rPr>
                <w:b/>
                <w:szCs w:val="18"/>
              </w:rPr>
            </w:pPr>
            <w:r w:rsidRPr="002B15E5">
              <w:rPr>
                <w:b/>
                <w:szCs w:val="18"/>
              </w:rPr>
              <w:t>Mon 1/8</w:t>
            </w:r>
          </w:p>
        </w:tc>
      </w:tr>
      <w:tr w:rsidR="003360E8" w:rsidRPr="00EB4ED7" w:rsidTr="0033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spacing w:line="240" w:lineRule="auto"/>
              <w:rPr>
                <w:szCs w:val="18"/>
              </w:rPr>
            </w:pPr>
            <w:r w:rsidRPr="00EB4ED7">
              <w:rPr>
                <w:szCs w:val="18"/>
              </w:rPr>
              <w:t>New England</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$20.25</w:t>
            </w:r>
            <w:r w:rsidR="003360E8" w:rsidRPr="00EB4ED7">
              <w:rPr>
                <w:szCs w:val="18"/>
              </w:rPr>
              <w:t xml:space="preserve"> </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$20.25</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$20.25</w:t>
            </w:r>
          </w:p>
        </w:tc>
      </w:tr>
      <w:tr w:rsidR="003360E8" w:rsidRPr="00EB4ED7" w:rsidTr="003360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rPr>
                <w:szCs w:val="18"/>
              </w:rPr>
            </w:pPr>
            <w:r w:rsidRPr="00EB4ED7">
              <w:rPr>
                <w:szCs w:val="18"/>
              </w:rPr>
              <w:t>New York City</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$12.65</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$12.65</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$12.65</w:t>
            </w:r>
          </w:p>
        </w:tc>
      </w:tr>
      <w:tr w:rsidR="002B15E5" w:rsidRPr="00EB4ED7" w:rsidTr="008E1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2B15E5" w:rsidRPr="00EB4ED7" w:rsidRDefault="002B15E5" w:rsidP="002B15E5">
            <w:pPr>
              <w:rPr>
                <w:szCs w:val="18"/>
              </w:rPr>
            </w:pPr>
            <w:r w:rsidRPr="00EB4ED7">
              <w:rPr>
                <w:szCs w:val="18"/>
              </w:rPr>
              <w:t>On-peak electricity price*</w:t>
            </w:r>
            <w:r w:rsidRPr="00EB4ED7">
              <w:rPr>
                <w:szCs w:val="18"/>
              </w:rPr>
              <w:br/>
            </w:r>
            <w:r w:rsidRPr="00EB4ED7">
              <w:rPr>
                <w:rStyle w:val="Emphasis"/>
                <w:sz w:val="18"/>
                <w:szCs w:val="18"/>
              </w:rPr>
              <w:t>per MWh</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Sat 1/6</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Sun 1/7</w:t>
            </w:r>
          </w:p>
        </w:tc>
        <w:tc>
          <w:tcPr>
            <w:tcW w:w="2340" w:type="dxa"/>
          </w:tcPr>
          <w:p w:rsidR="002B15E5" w:rsidRPr="002B15E5" w:rsidRDefault="002B15E5" w:rsidP="002B15E5">
            <w:pPr>
              <w:cnfStyle w:val="000000100000" w:firstRow="0" w:lastRow="0" w:firstColumn="0" w:lastColumn="0" w:oddVBand="0" w:evenVBand="0" w:oddHBand="1" w:evenHBand="0" w:firstRowFirstColumn="0" w:firstRowLastColumn="0" w:lastRowFirstColumn="0" w:lastRowLastColumn="0"/>
              <w:rPr>
                <w:b/>
                <w:szCs w:val="18"/>
              </w:rPr>
            </w:pPr>
            <w:r w:rsidRPr="002B15E5">
              <w:rPr>
                <w:b/>
                <w:szCs w:val="18"/>
              </w:rPr>
              <w:t>Mon 1/8</w:t>
            </w:r>
          </w:p>
        </w:tc>
      </w:tr>
      <w:tr w:rsidR="003360E8" w:rsidRPr="00EB4ED7" w:rsidTr="003360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spacing w:line="240" w:lineRule="auto"/>
              <w:rPr>
                <w:szCs w:val="18"/>
              </w:rPr>
            </w:pPr>
            <w:r w:rsidRPr="00EB4ED7">
              <w:rPr>
                <w:szCs w:val="18"/>
              </w:rPr>
              <w:t>New England</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NA</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NA</w:t>
            </w:r>
          </w:p>
        </w:tc>
        <w:tc>
          <w:tcPr>
            <w:tcW w:w="2340" w:type="dxa"/>
            <w:vAlign w:val="center"/>
          </w:tcPr>
          <w:p w:rsidR="003360E8" w:rsidRPr="00EB4ED7" w:rsidRDefault="002B15E5" w:rsidP="003360E8">
            <w:pPr>
              <w:cnfStyle w:val="000000010000" w:firstRow="0" w:lastRow="0" w:firstColumn="0" w:lastColumn="0" w:oddVBand="0" w:evenVBand="0" w:oddHBand="0" w:evenHBand="1" w:firstRowFirstColumn="0" w:firstRowLastColumn="0" w:lastRowFirstColumn="0" w:lastRowLastColumn="0"/>
              <w:rPr>
                <w:szCs w:val="18"/>
              </w:rPr>
            </w:pPr>
            <w:r>
              <w:rPr>
                <w:szCs w:val="18"/>
              </w:rPr>
              <w:t>$150.75</w:t>
            </w:r>
          </w:p>
        </w:tc>
      </w:tr>
      <w:tr w:rsidR="003360E8" w:rsidRPr="00EB4ED7" w:rsidTr="0033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3360E8" w:rsidRPr="00EB4ED7" w:rsidRDefault="003360E8" w:rsidP="003360E8">
            <w:pPr>
              <w:rPr>
                <w:szCs w:val="18"/>
              </w:rPr>
            </w:pPr>
            <w:r w:rsidRPr="00EB4ED7">
              <w:rPr>
                <w:szCs w:val="18"/>
              </w:rPr>
              <w:t>New York City</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NA</w:t>
            </w:r>
          </w:p>
        </w:tc>
        <w:tc>
          <w:tcPr>
            <w:tcW w:w="2340" w:type="dxa"/>
            <w:vAlign w:val="center"/>
          </w:tcPr>
          <w:p w:rsidR="003360E8" w:rsidRPr="00EB4ED7" w:rsidRDefault="002B15E5" w:rsidP="003360E8">
            <w:pPr>
              <w:cnfStyle w:val="000000100000" w:firstRow="0" w:lastRow="0" w:firstColumn="0" w:lastColumn="0" w:oddVBand="0" w:evenVBand="0" w:oddHBand="1" w:evenHBand="0" w:firstRowFirstColumn="0" w:firstRowLastColumn="0" w:lastRowFirstColumn="0" w:lastRowLastColumn="0"/>
              <w:rPr>
                <w:szCs w:val="18"/>
              </w:rPr>
            </w:pPr>
            <w:r>
              <w:rPr>
                <w:szCs w:val="18"/>
              </w:rPr>
              <w:t>$120.75</w:t>
            </w:r>
          </w:p>
        </w:tc>
      </w:tr>
    </w:tbl>
    <w:p w:rsidR="002B15E5" w:rsidRDefault="00EB4ED7" w:rsidP="00EB4ED7">
      <w:pPr>
        <w:pStyle w:val="Tablefootnotetext"/>
      </w:pPr>
      <w:r w:rsidRPr="00EB4ED7">
        <w:t>*Day-ahead market values set during trading from prior day</w:t>
      </w:r>
      <w:r w:rsidRPr="00EB4ED7">
        <w:br/>
      </w:r>
      <w:r w:rsidR="002B15E5">
        <w:t>NA means no applicable</w:t>
      </w:r>
    </w:p>
    <w:p w:rsidR="000F040A" w:rsidRDefault="00EB4ED7" w:rsidP="00EB4ED7">
      <w:pPr>
        <w:pStyle w:val="Tablefootnotetext"/>
      </w:pPr>
      <w:r w:rsidRPr="00EB4ED7">
        <w:t>Forecasts shown in italics</w:t>
      </w:r>
      <w:r w:rsidRPr="00EB4ED7">
        <w:br/>
        <w:t xml:space="preserve">Sources: NOAA, </w:t>
      </w:r>
      <w:proofErr w:type="spellStart"/>
      <w:r w:rsidRPr="00EB4ED7">
        <w:t>Bentek</w:t>
      </w:r>
      <w:proofErr w:type="spellEnd"/>
      <w:r w:rsidRPr="00EB4ED7">
        <w:t xml:space="preserve"> Energy, SNL Energy</w:t>
      </w:r>
    </w:p>
    <w:sectPr w:rsidR="000F040A" w:rsidSect="008F4C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A19" w:rsidRDefault="00955A19" w:rsidP="00536CE1">
      <w:pPr>
        <w:spacing w:after="0" w:line="240" w:lineRule="auto"/>
      </w:pPr>
      <w:r>
        <w:separator/>
      </w:r>
    </w:p>
  </w:endnote>
  <w:endnote w:type="continuationSeparator" w:id="0">
    <w:p w:rsidR="00955A19" w:rsidRDefault="00955A19" w:rsidP="00536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557895"/>
      <w:docPartObj>
        <w:docPartGallery w:val="Page Numbers (Bottom of Page)"/>
        <w:docPartUnique/>
      </w:docPartObj>
    </w:sdtPr>
    <w:sdtEndPr/>
    <w:sdtContent>
      <w:p w:rsidR="003360E8" w:rsidRDefault="003360E8" w:rsidP="00760677">
        <w:pPr>
          <w:pStyle w:val="Footer"/>
        </w:pPr>
        <w:r>
          <w:fldChar w:fldCharType="begin"/>
        </w:r>
        <w:r>
          <w:instrText xml:space="preserve"> PAGE   \* MERGEFORMAT </w:instrText>
        </w:r>
        <w:r>
          <w:fldChar w:fldCharType="separate"/>
        </w:r>
        <w:r>
          <w:rPr>
            <w:noProof/>
          </w:rPr>
          <w:t>14</w:t>
        </w:r>
        <w:r>
          <w:rPr>
            <w:noProof/>
          </w:rPr>
          <w:fldChar w:fldCharType="end"/>
        </w:r>
        <w:r>
          <w:tab/>
          <w:t xml:space="preserve">                                                                                             </w:t>
        </w:r>
        <w:r w:rsidRPr="00CB180D">
          <w:t>U.S. Energy Information Administration   |   Improving the Quality and Scope of EIA Data</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332437"/>
      <w:docPartObj>
        <w:docPartGallery w:val="Page Numbers (Bottom of Page)"/>
        <w:docPartUnique/>
      </w:docPartObj>
    </w:sdtPr>
    <w:sdtEndPr>
      <w:rPr>
        <w:noProof/>
      </w:rPr>
    </w:sdtEndPr>
    <w:sdtContent>
      <w:p w:rsidR="00EB4ED7" w:rsidRDefault="00EB4ED7">
        <w:pPr>
          <w:pStyle w:val="Footer"/>
          <w:jc w:val="right"/>
        </w:pPr>
        <w:r>
          <w:fldChar w:fldCharType="begin"/>
        </w:r>
        <w:r>
          <w:instrText xml:space="preserve"> PAGE   \* MERGEFORMAT </w:instrText>
        </w:r>
        <w:r>
          <w:fldChar w:fldCharType="separate"/>
        </w:r>
        <w:r w:rsidR="002B15E5">
          <w:rPr>
            <w:noProof/>
          </w:rPr>
          <w:t>1</w:t>
        </w:r>
        <w:r>
          <w:rPr>
            <w:noProof/>
          </w:rPr>
          <w:fldChar w:fldCharType="end"/>
        </w:r>
      </w:p>
    </w:sdtContent>
  </w:sdt>
  <w:p w:rsidR="00EB4ED7" w:rsidRDefault="00EB4E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E8" w:rsidRDefault="002B15E5" w:rsidP="00760677">
    <w:pPr>
      <w:pStyle w:val="Footer"/>
    </w:pPr>
    <w:sdt>
      <w:sdtPr>
        <w:id w:val="1705557553"/>
        <w:docPartObj>
          <w:docPartGallery w:val="Page Numbers (Bottom of Page)"/>
          <w:docPartUnique/>
        </w:docPartObj>
      </w:sdtPr>
      <w:sdtEndPr/>
      <w:sdtContent>
        <w:r w:rsidR="003360E8" w:rsidRPr="00CB180D">
          <w:t xml:space="preserve">U.S. Energy Information Administration   |   </w:t>
        </w:r>
        <w:sdt>
          <w:sdtPr>
            <w:alias w:val="Subject"/>
            <w:id w:val="1705557554"/>
            <w:dataBinding w:prefixMappings="xmlns:ns0='http://purl.org/dc/elements/1.1/' xmlns:ns1='http://schemas.openxmlformats.org/package/2006/metadata/core-properties' " w:xpath="/ns1:coreProperties[1]/ns0:subject[1]" w:storeItemID="{6C3C8BC8-F283-45AE-878A-BAB7291924A1}"/>
            <w:text/>
          </w:sdtPr>
          <w:sdtEndPr/>
          <w:sdtContent>
            <w:r w:rsidR="003360E8">
              <w:t>Improving the Quality and Scope of EIA Data</w:t>
            </w:r>
          </w:sdtContent>
        </w:sdt>
        <w:r w:rsidR="003360E8" w:rsidRPr="00CB180D">
          <w:tab/>
        </w:r>
      </w:sdtContent>
    </w:sdt>
    <w:r w:rsidR="003360E8" w:rsidRPr="00760677">
      <w:t xml:space="preserve"> </w:t>
    </w:r>
    <w:r w:rsidR="003360E8">
      <w:fldChar w:fldCharType="begin"/>
    </w:r>
    <w:r w:rsidR="003360E8">
      <w:instrText xml:space="preserve"> PAGE   \* MERGEFORMAT </w:instrText>
    </w:r>
    <w:r w:rsidR="003360E8">
      <w:fldChar w:fldCharType="separate"/>
    </w:r>
    <w:r w:rsidR="003360E8">
      <w:rPr>
        <w:noProof/>
      </w:rPr>
      <w:t>1</w:t>
    </w:r>
    <w:r w:rsidR="003360E8">
      <w:rPr>
        <w:noProof/>
      </w:rPr>
      <w:fldChar w:fldCharType="end"/>
    </w:r>
  </w:p>
  <w:p w:rsidR="003360E8" w:rsidRDefault="003360E8" w:rsidP="00760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A19" w:rsidRDefault="00955A19" w:rsidP="00536CE1">
      <w:pPr>
        <w:spacing w:after="0" w:line="240" w:lineRule="auto"/>
      </w:pPr>
      <w:r>
        <w:separator/>
      </w:r>
    </w:p>
  </w:footnote>
  <w:footnote w:type="continuationSeparator" w:id="0">
    <w:p w:rsidR="00955A19" w:rsidRDefault="00955A19" w:rsidP="00536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E8" w:rsidRPr="00373208" w:rsidRDefault="003360E8" w:rsidP="00041909">
    <w:pPr>
      <w:pStyle w:val="Header"/>
    </w:pPr>
    <w:r>
      <w:t>September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E8" w:rsidRPr="00F8298C" w:rsidRDefault="002B15E5" w:rsidP="00041909">
    <w:pPr>
      <w:pStyle w:val="Header"/>
    </w:pPr>
    <w:r>
      <w:t>January 8</w:t>
    </w:r>
    <w:r w:rsidR="003360E8">
      <w:t>,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0E8" w:rsidRDefault="003360E8" w:rsidP="00041909">
    <w:pPr>
      <w:pStyle w:val="Header"/>
    </w:pPr>
    <w:r>
      <w:t>December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94009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24A2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FCCB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9626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02E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06447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48091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8DB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20A5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A448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47BD8"/>
    <w:multiLevelType w:val="multilevel"/>
    <w:tmpl w:val="1A406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1" w15:restartNumberingAfterBreak="0">
    <w:nsid w:val="054720A0"/>
    <w:multiLevelType w:val="multilevel"/>
    <w:tmpl w:val="940AAD72"/>
    <w:lvl w:ilvl="0">
      <w:start w:val="1"/>
      <w:numFmt w:val="decimal"/>
      <w:lvlText w:val="%1."/>
      <w:lvlJc w:val="left"/>
      <w:pPr>
        <w:ind w:left="1440" w:hanging="360"/>
      </w:pPr>
      <w:rPr>
        <w:rFonts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color w:val="auto"/>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color w:val="auto"/>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color w:val="auto"/>
      </w:rPr>
    </w:lvl>
  </w:abstractNum>
  <w:abstractNum w:abstractNumId="12" w15:restartNumberingAfterBreak="0">
    <w:nsid w:val="069F36C6"/>
    <w:multiLevelType w:val="multilevel"/>
    <w:tmpl w:val="E258FFEA"/>
    <w:lvl w:ilvl="0">
      <w:start w:val="1"/>
      <w:numFmt w:val="bullet"/>
      <w:pStyle w:val="ListParagraph"/>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color w:val="auto"/>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color w:val="auto"/>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color w:val="auto"/>
      </w:rPr>
    </w:lvl>
  </w:abstractNum>
  <w:abstractNum w:abstractNumId="13" w15:restartNumberingAfterBreak="0">
    <w:nsid w:val="3AAA5C3B"/>
    <w:multiLevelType w:val="hybridMultilevel"/>
    <w:tmpl w:val="0926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A4D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552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666C8F"/>
    <w:multiLevelType w:val="hybridMultilevel"/>
    <w:tmpl w:val="2EDAB452"/>
    <w:lvl w:ilvl="0" w:tplc="BDB69D9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63061"/>
    <w:multiLevelType w:val="multilevel"/>
    <w:tmpl w:val="513E1B74"/>
    <w:lvl w:ilvl="0">
      <w:start w:val="1"/>
      <w:numFmt w:val="none"/>
      <w:pStyle w:val="Heading1"/>
      <w:suff w:val="nothing"/>
      <w:lvlText w:val=""/>
      <w:lvlJc w:val="left"/>
      <w:pPr>
        <w:ind w:left="0" w:firstLine="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
      <w:lvlJc w:val="left"/>
      <w:pPr>
        <w:ind w:left="1728" w:hanging="648"/>
      </w:pPr>
      <w:rPr>
        <w:rFonts w:hint="default"/>
      </w:rPr>
    </w:lvl>
    <w:lvl w:ilvl="4">
      <w:start w:val="1"/>
      <w:numFmt w:val="decimal"/>
      <w:lvlText w:val="%1"/>
      <w:lvlJc w:val="left"/>
      <w:pPr>
        <w:ind w:left="2232" w:hanging="792"/>
      </w:pPr>
      <w:rPr>
        <w:rFonts w:hint="default"/>
      </w:rPr>
    </w:lvl>
    <w:lvl w:ilvl="5">
      <w:start w:val="1"/>
      <w:numFmt w:val="decimal"/>
      <w:lvlText w:val="%1"/>
      <w:lvlJc w:val="left"/>
      <w:pPr>
        <w:ind w:left="2736" w:hanging="936"/>
      </w:pPr>
      <w:rPr>
        <w:rFonts w:hint="default"/>
      </w:rPr>
    </w:lvl>
    <w:lvl w:ilvl="6">
      <w:start w:val="1"/>
      <w:numFmt w:val="decimal"/>
      <w:lvlText w:val="%1"/>
      <w:lvlJc w:val="left"/>
      <w:pPr>
        <w:ind w:left="3240" w:hanging="1080"/>
      </w:pPr>
      <w:rPr>
        <w:rFonts w:hint="default"/>
      </w:rPr>
    </w:lvl>
    <w:lvl w:ilvl="7">
      <w:start w:val="1"/>
      <w:numFmt w:val="decimal"/>
      <w:lvlText w:val="%1"/>
      <w:lvlJc w:val="left"/>
      <w:pPr>
        <w:ind w:left="3744" w:hanging="1224"/>
      </w:pPr>
      <w:rPr>
        <w:rFonts w:hint="default"/>
      </w:rPr>
    </w:lvl>
    <w:lvl w:ilvl="8">
      <w:numFmt w:val="decimal"/>
      <w:lvlRestart w:val="0"/>
      <w:lvlText w:val="%1"/>
      <w:lvlJc w:val="left"/>
      <w:pPr>
        <w:ind w:left="4320" w:hanging="1440"/>
      </w:pPr>
      <w:rPr>
        <w:rFonts w:hint="default"/>
      </w:rPr>
    </w:lvl>
  </w:abstractNum>
  <w:abstractNum w:abstractNumId="18" w15:restartNumberingAfterBreak="0">
    <w:nsid w:val="7BCC14F2"/>
    <w:multiLevelType w:val="multilevel"/>
    <w:tmpl w:val="B53AECF4"/>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Symbol" w:hAnsi="Symbol" w:hint="default"/>
        <w:color w:val="auto"/>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Symbol" w:hAnsi="Symbol" w:hint="default"/>
        <w:color w:val="auto"/>
      </w:rPr>
    </w:lvl>
    <w:lvl w:ilvl="5">
      <w:start w:val="1"/>
      <w:numFmt w:val="bullet"/>
      <w:lvlText w:val=""/>
      <w:lvlJc w:val="left"/>
      <w:pPr>
        <w:ind w:left="5040" w:hanging="360"/>
      </w:pPr>
      <w:rPr>
        <w:rFonts w:ascii="Symbol" w:hAnsi="Symbol" w:hint="default"/>
      </w:rPr>
    </w:lvl>
    <w:lvl w:ilvl="6">
      <w:start w:val="1"/>
      <w:numFmt w:val="bullet"/>
      <w:lvlText w:val=""/>
      <w:lvlJc w:val="left"/>
      <w:pPr>
        <w:ind w:left="5760" w:hanging="360"/>
      </w:pPr>
      <w:rPr>
        <w:rFonts w:ascii="Symbol" w:hAnsi="Symbol"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Symbol" w:hAnsi="Symbol" w:hint="default"/>
        <w:color w:val="auto"/>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3"/>
  </w:num>
  <w:num w:numId="15">
    <w:abstractNumId w:val="15"/>
  </w:num>
  <w:num w:numId="16">
    <w:abstractNumId w:val="10"/>
  </w:num>
  <w:num w:numId="17">
    <w:abstractNumId w:val="10"/>
  </w:num>
  <w:num w:numId="18">
    <w:abstractNumId w:val="14"/>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1">
    <w:abstractNumId w:val="10"/>
  </w:num>
  <w:num w:numId="22">
    <w:abstractNumId w:val="10"/>
  </w:num>
  <w:num w:numId="23">
    <w:abstractNumId w:val="10"/>
  </w:num>
  <w:num w:numId="24">
    <w:abstractNumId w:val="10"/>
  </w:num>
  <w:num w:numId="25">
    <w:abstractNumId w:val="10"/>
  </w:num>
  <w:num w:numId="26">
    <w:abstractNumId w:val="17"/>
  </w:num>
  <w:num w:numId="27">
    <w:abstractNumId w:val="10"/>
  </w:num>
  <w:num w:numId="28">
    <w:abstractNumId w:val="17"/>
  </w:num>
  <w:num w:numId="29">
    <w:abstractNumId w:val="17"/>
  </w:num>
  <w:num w:numId="30">
    <w:abstractNumId w:val="17"/>
  </w:num>
  <w:num w:numId="31">
    <w:abstractNumId w:val="10"/>
  </w:num>
  <w:num w:numId="32">
    <w:abstractNumId w:val="10"/>
  </w:num>
  <w:num w:numId="33">
    <w:abstractNumId w:val="10"/>
  </w:num>
  <w:num w:numId="34">
    <w:abstractNumId w:val="9"/>
  </w:num>
  <w:num w:numId="35">
    <w:abstractNumId w:val="7"/>
  </w:num>
  <w:num w:numId="36">
    <w:abstractNumId w:val="6"/>
  </w:num>
  <w:num w:numId="37">
    <w:abstractNumId w:val="5"/>
  </w:num>
  <w:num w:numId="38">
    <w:abstractNumId w:val="12"/>
  </w:num>
  <w:num w:numId="39">
    <w:abstractNumId w:val="17"/>
  </w:num>
  <w:num w:numId="40">
    <w:abstractNumId w:val="17"/>
  </w:num>
  <w:num w:numId="41">
    <w:abstractNumId w:val="17"/>
  </w:num>
  <w:num w:numId="42">
    <w:abstractNumId w:val="12"/>
  </w:num>
  <w:num w:numId="43">
    <w:abstractNumId w:val="12"/>
  </w:num>
  <w:num w:numId="44">
    <w:abstractNumId w:val="12"/>
  </w:num>
  <w:num w:numId="45">
    <w:abstractNumId w:val="12"/>
  </w:num>
  <w:num w:numId="46">
    <w:abstractNumId w:val="11"/>
  </w:num>
  <w:num w:numId="47">
    <w:abstractNumId w:val="18"/>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revisionView w:inkAnnotations="0"/>
  <w:documentProtection w:formatting="1" w:enforcement="0"/>
  <w:styleLockTheme/>
  <w:styleLockQFSet/>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19"/>
    <w:rsid w:val="0000019D"/>
    <w:rsid w:val="0000364C"/>
    <w:rsid w:val="00004135"/>
    <w:rsid w:val="000041A1"/>
    <w:rsid w:val="000053BB"/>
    <w:rsid w:val="00011B3F"/>
    <w:rsid w:val="00013373"/>
    <w:rsid w:val="000142E5"/>
    <w:rsid w:val="00015DA7"/>
    <w:rsid w:val="000248CE"/>
    <w:rsid w:val="00034A4B"/>
    <w:rsid w:val="00041909"/>
    <w:rsid w:val="00046593"/>
    <w:rsid w:val="00047C08"/>
    <w:rsid w:val="000556B6"/>
    <w:rsid w:val="00055769"/>
    <w:rsid w:val="00056EC3"/>
    <w:rsid w:val="00062CFE"/>
    <w:rsid w:val="0007129A"/>
    <w:rsid w:val="000831C4"/>
    <w:rsid w:val="000844CA"/>
    <w:rsid w:val="000B3FBE"/>
    <w:rsid w:val="000C5311"/>
    <w:rsid w:val="000F040A"/>
    <w:rsid w:val="001034E8"/>
    <w:rsid w:val="00112A69"/>
    <w:rsid w:val="0011541D"/>
    <w:rsid w:val="00132F4A"/>
    <w:rsid w:val="00160925"/>
    <w:rsid w:val="00167425"/>
    <w:rsid w:val="001807A3"/>
    <w:rsid w:val="001947D5"/>
    <w:rsid w:val="001A6E1E"/>
    <w:rsid w:val="001B0E69"/>
    <w:rsid w:val="001D03A8"/>
    <w:rsid w:val="001F3A8F"/>
    <w:rsid w:val="002008B4"/>
    <w:rsid w:val="00201F24"/>
    <w:rsid w:val="002127CE"/>
    <w:rsid w:val="00215842"/>
    <w:rsid w:val="002207DF"/>
    <w:rsid w:val="00221AC2"/>
    <w:rsid w:val="00227E4B"/>
    <w:rsid w:val="0023015A"/>
    <w:rsid w:val="0023708A"/>
    <w:rsid w:val="0025022D"/>
    <w:rsid w:val="002530BB"/>
    <w:rsid w:val="002556F3"/>
    <w:rsid w:val="00260EDF"/>
    <w:rsid w:val="00264148"/>
    <w:rsid w:val="00274179"/>
    <w:rsid w:val="0028122D"/>
    <w:rsid w:val="002B0FD2"/>
    <w:rsid w:val="002B15E5"/>
    <w:rsid w:val="002C378C"/>
    <w:rsid w:val="002E3FD5"/>
    <w:rsid w:val="002E7A38"/>
    <w:rsid w:val="00306516"/>
    <w:rsid w:val="003360E8"/>
    <w:rsid w:val="003469CB"/>
    <w:rsid w:val="00346BDC"/>
    <w:rsid w:val="00350C8B"/>
    <w:rsid w:val="00363331"/>
    <w:rsid w:val="00371E14"/>
    <w:rsid w:val="00373208"/>
    <w:rsid w:val="00383DB3"/>
    <w:rsid w:val="003854B2"/>
    <w:rsid w:val="00385AE6"/>
    <w:rsid w:val="00387C8D"/>
    <w:rsid w:val="00392DD0"/>
    <w:rsid w:val="00396BCB"/>
    <w:rsid w:val="00397825"/>
    <w:rsid w:val="003A1073"/>
    <w:rsid w:val="003A10F3"/>
    <w:rsid w:val="003A3906"/>
    <w:rsid w:val="003B03A4"/>
    <w:rsid w:val="003C03EA"/>
    <w:rsid w:val="003C690C"/>
    <w:rsid w:val="003E40FA"/>
    <w:rsid w:val="003F24ED"/>
    <w:rsid w:val="003F529E"/>
    <w:rsid w:val="00426481"/>
    <w:rsid w:val="00432966"/>
    <w:rsid w:val="0045608E"/>
    <w:rsid w:val="0045662F"/>
    <w:rsid w:val="00466959"/>
    <w:rsid w:val="0047784B"/>
    <w:rsid w:val="004946F0"/>
    <w:rsid w:val="00497C2A"/>
    <w:rsid w:val="004B1075"/>
    <w:rsid w:val="004C277B"/>
    <w:rsid w:val="004D05FB"/>
    <w:rsid w:val="004D0F05"/>
    <w:rsid w:val="004D29C7"/>
    <w:rsid w:val="00504119"/>
    <w:rsid w:val="005065CF"/>
    <w:rsid w:val="00506BB4"/>
    <w:rsid w:val="0050705F"/>
    <w:rsid w:val="005170D3"/>
    <w:rsid w:val="0052493A"/>
    <w:rsid w:val="00535CAF"/>
    <w:rsid w:val="00536054"/>
    <w:rsid w:val="0053654B"/>
    <w:rsid w:val="00536CE1"/>
    <w:rsid w:val="0054180D"/>
    <w:rsid w:val="00547B53"/>
    <w:rsid w:val="00571D8F"/>
    <w:rsid w:val="0057367D"/>
    <w:rsid w:val="00585BE3"/>
    <w:rsid w:val="005B2B58"/>
    <w:rsid w:val="005C00FA"/>
    <w:rsid w:val="005C2D89"/>
    <w:rsid w:val="005C485B"/>
    <w:rsid w:val="005D39D7"/>
    <w:rsid w:val="005D5956"/>
    <w:rsid w:val="005D6F63"/>
    <w:rsid w:val="005F4848"/>
    <w:rsid w:val="0062008C"/>
    <w:rsid w:val="00620797"/>
    <w:rsid w:val="00626494"/>
    <w:rsid w:val="00641DE2"/>
    <w:rsid w:val="00643384"/>
    <w:rsid w:val="0065406F"/>
    <w:rsid w:val="00663EC4"/>
    <w:rsid w:val="00677C5F"/>
    <w:rsid w:val="006A0BC7"/>
    <w:rsid w:val="006C0062"/>
    <w:rsid w:val="006C097E"/>
    <w:rsid w:val="006C2DC3"/>
    <w:rsid w:val="006D0439"/>
    <w:rsid w:val="006D466F"/>
    <w:rsid w:val="00725453"/>
    <w:rsid w:val="00737591"/>
    <w:rsid w:val="007438F2"/>
    <w:rsid w:val="00755C3D"/>
    <w:rsid w:val="007576EF"/>
    <w:rsid w:val="00760677"/>
    <w:rsid w:val="00761C12"/>
    <w:rsid w:val="00776CF4"/>
    <w:rsid w:val="00784F89"/>
    <w:rsid w:val="00786336"/>
    <w:rsid w:val="007A4264"/>
    <w:rsid w:val="007A4378"/>
    <w:rsid w:val="007C5CE9"/>
    <w:rsid w:val="007D39CC"/>
    <w:rsid w:val="007D6AAF"/>
    <w:rsid w:val="007E37FC"/>
    <w:rsid w:val="007E5A11"/>
    <w:rsid w:val="007E73E6"/>
    <w:rsid w:val="007F1954"/>
    <w:rsid w:val="007F21D7"/>
    <w:rsid w:val="008057F8"/>
    <w:rsid w:val="008307E1"/>
    <w:rsid w:val="00867160"/>
    <w:rsid w:val="0087205B"/>
    <w:rsid w:val="00874FB8"/>
    <w:rsid w:val="00895669"/>
    <w:rsid w:val="00897946"/>
    <w:rsid w:val="008A3276"/>
    <w:rsid w:val="008A3447"/>
    <w:rsid w:val="008E4BF2"/>
    <w:rsid w:val="008F4CBD"/>
    <w:rsid w:val="009017AD"/>
    <w:rsid w:val="00901BED"/>
    <w:rsid w:val="00905735"/>
    <w:rsid w:val="009131B9"/>
    <w:rsid w:val="00935805"/>
    <w:rsid w:val="009368F3"/>
    <w:rsid w:val="00947C42"/>
    <w:rsid w:val="00950489"/>
    <w:rsid w:val="00955A19"/>
    <w:rsid w:val="00957DE9"/>
    <w:rsid w:val="00965A44"/>
    <w:rsid w:val="00967D7C"/>
    <w:rsid w:val="009757AD"/>
    <w:rsid w:val="00980B6A"/>
    <w:rsid w:val="009818F9"/>
    <w:rsid w:val="0098618F"/>
    <w:rsid w:val="00987C32"/>
    <w:rsid w:val="00991646"/>
    <w:rsid w:val="0099448B"/>
    <w:rsid w:val="00997347"/>
    <w:rsid w:val="009B19CE"/>
    <w:rsid w:val="009C202F"/>
    <w:rsid w:val="009C77F7"/>
    <w:rsid w:val="009E5ABC"/>
    <w:rsid w:val="009E5B9C"/>
    <w:rsid w:val="00A00D71"/>
    <w:rsid w:val="00A00EDF"/>
    <w:rsid w:val="00A26A17"/>
    <w:rsid w:val="00A30169"/>
    <w:rsid w:val="00A312A3"/>
    <w:rsid w:val="00A33D9F"/>
    <w:rsid w:val="00A37229"/>
    <w:rsid w:val="00A418C9"/>
    <w:rsid w:val="00A74C9B"/>
    <w:rsid w:val="00A93478"/>
    <w:rsid w:val="00A97FE7"/>
    <w:rsid w:val="00AA46CA"/>
    <w:rsid w:val="00AA7EFA"/>
    <w:rsid w:val="00AB61B3"/>
    <w:rsid w:val="00AC323A"/>
    <w:rsid w:val="00AD6357"/>
    <w:rsid w:val="00AD7F81"/>
    <w:rsid w:val="00AE4CA9"/>
    <w:rsid w:val="00AF2CBF"/>
    <w:rsid w:val="00AF367D"/>
    <w:rsid w:val="00AF45FD"/>
    <w:rsid w:val="00B35E2A"/>
    <w:rsid w:val="00B4263D"/>
    <w:rsid w:val="00B56F49"/>
    <w:rsid w:val="00B7442A"/>
    <w:rsid w:val="00B97002"/>
    <w:rsid w:val="00BB2F70"/>
    <w:rsid w:val="00BB6CF4"/>
    <w:rsid w:val="00BC14C3"/>
    <w:rsid w:val="00BC1ABE"/>
    <w:rsid w:val="00BD2F20"/>
    <w:rsid w:val="00BD4F62"/>
    <w:rsid w:val="00BE4AFD"/>
    <w:rsid w:val="00C00590"/>
    <w:rsid w:val="00C04647"/>
    <w:rsid w:val="00C12551"/>
    <w:rsid w:val="00C211CD"/>
    <w:rsid w:val="00C25328"/>
    <w:rsid w:val="00C3744D"/>
    <w:rsid w:val="00C43A84"/>
    <w:rsid w:val="00C64137"/>
    <w:rsid w:val="00C658E4"/>
    <w:rsid w:val="00C7266E"/>
    <w:rsid w:val="00C754F1"/>
    <w:rsid w:val="00C76C66"/>
    <w:rsid w:val="00C82DF9"/>
    <w:rsid w:val="00C87190"/>
    <w:rsid w:val="00CA1564"/>
    <w:rsid w:val="00CA7C8A"/>
    <w:rsid w:val="00CB44E8"/>
    <w:rsid w:val="00CB7978"/>
    <w:rsid w:val="00CC1D12"/>
    <w:rsid w:val="00CE42E9"/>
    <w:rsid w:val="00D001E4"/>
    <w:rsid w:val="00D00AA8"/>
    <w:rsid w:val="00D02778"/>
    <w:rsid w:val="00D300F4"/>
    <w:rsid w:val="00D3344B"/>
    <w:rsid w:val="00D40175"/>
    <w:rsid w:val="00D55243"/>
    <w:rsid w:val="00D62F90"/>
    <w:rsid w:val="00D63E74"/>
    <w:rsid w:val="00D715C4"/>
    <w:rsid w:val="00D928FD"/>
    <w:rsid w:val="00DC79E3"/>
    <w:rsid w:val="00DE2D54"/>
    <w:rsid w:val="00E02BB0"/>
    <w:rsid w:val="00E03CE6"/>
    <w:rsid w:val="00E04947"/>
    <w:rsid w:val="00E13716"/>
    <w:rsid w:val="00E1631C"/>
    <w:rsid w:val="00E266FF"/>
    <w:rsid w:val="00E27661"/>
    <w:rsid w:val="00E47DB3"/>
    <w:rsid w:val="00E51F8B"/>
    <w:rsid w:val="00E5242A"/>
    <w:rsid w:val="00E53398"/>
    <w:rsid w:val="00E66AE2"/>
    <w:rsid w:val="00E74DA4"/>
    <w:rsid w:val="00E81B89"/>
    <w:rsid w:val="00E91432"/>
    <w:rsid w:val="00E91B5A"/>
    <w:rsid w:val="00EB4ED7"/>
    <w:rsid w:val="00ED6E45"/>
    <w:rsid w:val="00EE43E4"/>
    <w:rsid w:val="00F001EA"/>
    <w:rsid w:val="00F16B90"/>
    <w:rsid w:val="00F34F19"/>
    <w:rsid w:val="00F44A21"/>
    <w:rsid w:val="00F575F0"/>
    <w:rsid w:val="00F6664C"/>
    <w:rsid w:val="00F80AF1"/>
    <w:rsid w:val="00F8298C"/>
    <w:rsid w:val="00F90245"/>
    <w:rsid w:val="00F920D9"/>
    <w:rsid w:val="00F94781"/>
    <w:rsid w:val="00FA5388"/>
    <w:rsid w:val="00FA7281"/>
    <w:rsid w:val="00FB08E3"/>
    <w:rsid w:val="00FD397B"/>
    <w:rsid w:val="00FD4B01"/>
    <w:rsid w:val="00FD7CDC"/>
    <w:rsid w:val="00FE58E0"/>
    <w:rsid w:val="00FE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40F89929-EEAC-4B2C-A62C-BA57E382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iPriority="7" w:unhideWhenUsed="1" w:qFormat="1"/>
    <w:lsdException w:name="annotation text" w:semiHidden="1" w:unhideWhenUsed="1"/>
    <w:lsdException w:name="header" w:locked="0" w:semiHidden="1" w:unhideWhenUsed="1" w:qFormat="1"/>
    <w:lsdException w:name="footer" w:locked="0" w:semiHidden="1" w:unhideWhenUsed="1" w:qFormat="1"/>
    <w:lsdException w:name="index heading" w:semiHidden="1" w:unhideWhenUsed="1"/>
    <w:lsdException w:name="caption" w:locked="0" w:semiHidden="1" w:uiPriority="3"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iPriority="13"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locked="0" w:semiHidden="1" w:unhideWhenUsed="1" w:qFormat="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1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C7266E"/>
    <w:pPr>
      <w:spacing w:line="300" w:lineRule="atLeast"/>
    </w:pPr>
  </w:style>
  <w:style w:type="paragraph" w:styleId="Heading1">
    <w:name w:val="heading 1"/>
    <w:basedOn w:val="Normal"/>
    <w:next w:val="Left05Indent"/>
    <w:link w:val="Heading1Char"/>
    <w:autoRedefine/>
    <w:uiPriority w:val="1"/>
    <w:qFormat/>
    <w:rsid w:val="00FD7CDC"/>
    <w:pPr>
      <w:keepNext/>
      <w:keepLines/>
      <w:numPr>
        <w:numId w:val="41"/>
      </w:numPr>
      <w:pBdr>
        <w:bottom w:val="single" w:sz="8" w:space="1" w:color="A6A6A6" w:themeColor="background1" w:themeShade="A6"/>
      </w:pBdr>
      <w:spacing w:after="120" w:line="380" w:lineRule="atLeast"/>
      <w:outlineLvl w:val="0"/>
    </w:pPr>
    <w:rPr>
      <w:rFonts w:asciiTheme="majorHAnsi" w:eastAsiaTheme="majorEastAsia" w:hAnsiTheme="majorHAnsi" w:cstheme="majorBidi"/>
      <w:b/>
      <w:bCs/>
      <w:color w:val="1396D8"/>
      <w:sz w:val="32"/>
      <w:szCs w:val="28"/>
    </w:rPr>
  </w:style>
  <w:style w:type="paragraph" w:styleId="Heading2">
    <w:name w:val="heading 2"/>
    <w:next w:val="Normal"/>
    <w:link w:val="Heading2Char"/>
    <w:autoRedefine/>
    <w:uiPriority w:val="1"/>
    <w:qFormat/>
    <w:rsid w:val="00F80AF1"/>
    <w:pPr>
      <w:keepNext/>
      <w:keepLines/>
      <w:spacing w:before="200" w:after="0"/>
      <w:outlineLvl w:val="1"/>
    </w:pPr>
    <w:rPr>
      <w:rFonts w:eastAsiaTheme="majorEastAsia" w:cstheme="majorBidi"/>
      <w:b/>
      <w:color w:val="1396D8"/>
      <w:sz w:val="28"/>
      <w:szCs w:val="26"/>
    </w:rPr>
  </w:style>
  <w:style w:type="paragraph" w:styleId="Heading3">
    <w:name w:val="heading 3"/>
    <w:basedOn w:val="Heading2"/>
    <w:next w:val="Normal"/>
    <w:link w:val="Heading3Char"/>
    <w:autoRedefine/>
    <w:uiPriority w:val="1"/>
    <w:qFormat/>
    <w:rsid w:val="00FD7CDC"/>
    <w:pPr>
      <w:outlineLvl w:val="2"/>
    </w:pPr>
    <w:rPr>
      <w:rFonts w:asciiTheme="majorHAnsi" w:hAnsiTheme="majorHAnsi"/>
      <w:bCs/>
      <w:i/>
      <w:color w:val="595959" w:themeColor="text1" w:themeTint="A6"/>
      <w:sz w:val="24"/>
    </w:rPr>
  </w:style>
  <w:style w:type="paragraph" w:styleId="Heading4">
    <w:name w:val="heading 4"/>
    <w:basedOn w:val="Heading3"/>
    <w:next w:val="Normal"/>
    <w:link w:val="Heading4Char"/>
    <w:autoRedefine/>
    <w:uiPriority w:val="1"/>
    <w:qFormat/>
    <w:rsid w:val="00112A69"/>
    <w:pPr>
      <w:numPr>
        <w:ilvl w:val="3"/>
      </w:numPr>
      <w:outlineLvl w:val="3"/>
    </w:pPr>
    <w:rPr>
      <w:rFonts w:asciiTheme="minorHAnsi" w:hAnsiTheme="minorHAnsi"/>
      <w:bCs w:val="0"/>
      <w:iCs/>
    </w:rPr>
  </w:style>
  <w:style w:type="paragraph" w:styleId="Heading5">
    <w:name w:val="heading 5"/>
    <w:basedOn w:val="Heading4"/>
    <w:next w:val="Normal"/>
    <w:link w:val="Heading5Char"/>
    <w:uiPriority w:val="9"/>
    <w:semiHidden/>
    <w:locked/>
    <w:rsid w:val="00112A69"/>
    <w:pPr>
      <w:numPr>
        <w:ilvl w:val="4"/>
      </w:numPr>
      <w:outlineLvl w:val="4"/>
    </w:pPr>
    <w:rPr>
      <w:sz w:val="20"/>
    </w:rPr>
  </w:style>
  <w:style w:type="paragraph" w:styleId="Heading6">
    <w:name w:val="heading 6"/>
    <w:basedOn w:val="Heading5"/>
    <w:next w:val="Normal"/>
    <w:link w:val="Heading6Char"/>
    <w:autoRedefine/>
    <w:uiPriority w:val="9"/>
    <w:semiHidden/>
    <w:locked/>
    <w:rsid w:val="00112A69"/>
    <w:pPr>
      <w:numPr>
        <w:ilvl w:val="5"/>
      </w:numPr>
      <w:outlineLvl w:val="5"/>
    </w:pPr>
    <w:rPr>
      <w:iCs w:val="0"/>
      <w:color w:val="666666"/>
    </w:rPr>
  </w:style>
  <w:style w:type="paragraph" w:styleId="Heading7">
    <w:name w:val="heading 7"/>
    <w:basedOn w:val="Normal"/>
    <w:next w:val="Normal"/>
    <w:link w:val="Heading7Char"/>
    <w:uiPriority w:val="9"/>
    <w:semiHidden/>
    <w:locked/>
    <w:rsid w:val="00112A69"/>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locked/>
    <w:rsid w:val="00112A69"/>
    <w:pPr>
      <w:keepNext/>
      <w:keepLines/>
      <w:numPr>
        <w:ilvl w:val="7"/>
        <w:numId w:val="3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locked/>
    <w:rsid w:val="00112A69"/>
    <w:pPr>
      <w:keepNext/>
      <w:keepLines/>
      <w:numPr>
        <w:ilvl w:val="8"/>
        <w:numId w:val="3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D7CDC"/>
    <w:rPr>
      <w:rFonts w:asciiTheme="majorHAnsi" w:eastAsiaTheme="majorEastAsia" w:hAnsiTheme="majorHAnsi" w:cstheme="majorBidi"/>
      <w:b/>
      <w:bCs/>
      <w:color w:val="1396D8"/>
      <w:sz w:val="32"/>
      <w:szCs w:val="28"/>
    </w:rPr>
  </w:style>
  <w:style w:type="paragraph" w:styleId="NoSpacing">
    <w:name w:val="No Spacing"/>
    <w:uiPriority w:val="2"/>
    <w:qFormat/>
    <w:rsid w:val="00112A69"/>
    <w:pPr>
      <w:spacing w:after="0"/>
      <w:jc w:val="both"/>
    </w:pPr>
  </w:style>
  <w:style w:type="character" w:customStyle="1" w:styleId="Heading2Char">
    <w:name w:val="Heading 2 Char"/>
    <w:basedOn w:val="DefaultParagraphFont"/>
    <w:link w:val="Heading2"/>
    <w:uiPriority w:val="1"/>
    <w:rsid w:val="00F80AF1"/>
    <w:rPr>
      <w:rFonts w:eastAsiaTheme="majorEastAsia" w:cstheme="majorBidi"/>
      <w:b/>
      <w:color w:val="1396D8"/>
      <w:sz w:val="28"/>
      <w:szCs w:val="26"/>
    </w:rPr>
  </w:style>
  <w:style w:type="character" w:customStyle="1" w:styleId="Heading3Char">
    <w:name w:val="Heading 3 Char"/>
    <w:basedOn w:val="DefaultParagraphFont"/>
    <w:link w:val="Heading3"/>
    <w:uiPriority w:val="1"/>
    <w:rsid w:val="00FD7CDC"/>
    <w:rPr>
      <w:rFonts w:asciiTheme="majorHAnsi" w:eastAsiaTheme="majorEastAsia" w:hAnsiTheme="majorHAnsi" w:cstheme="majorBidi"/>
      <w:b/>
      <w:bCs/>
      <w:i/>
      <w:color w:val="595959" w:themeColor="text1" w:themeTint="A6"/>
      <w:sz w:val="24"/>
      <w:szCs w:val="26"/>
    </w:rPr>
  </w:style>
  <w:style w:type="character" w:customStyle="1" w:styleId="Heading4Char">
    <w:name w:val="Heading 4 Char"/>
    <w:basedOn w:val="DefaultParagraphFont"/>
    <w:link w:val="Heading4"/>
    <w:uiPriority w:val="1"/>
    <w:rsid w:val="00E03CE6"/>
    <w:rPr>
      <w:rFonts w:eastAsiaTheme="majorEastAsia" w:cstheme="majorBidi"/>
      <w:b/>
      <w:i/>
      <w:iCs/>
      <w:color w:val="595959" w:themeColor="text1" w:themeTint="A6"/>
      <w:sz w:val="24"/>
      <w:szCs w:val="26"/>
    </w:rPr>
  </w:style>
  <w:style w:type="character" w:customStyle="1" w:styleId="Heading5Char">
    <w:name w:val="Heading 5 Char"/>
    <w:basedOn w:val="DefaultParagraphFont"/>
    <w:link w:val="Heading5"/>
    <w:uiPriority w:val="9"/>
    <w:semiHidden/>
    <w:rsid w:val="00D55243"/>
    <w:rPr>
      <w:rFonts w:eastAsiaTheme="majorEastAsia" w:cstheme="majorBidi"/>
      <w:b/>
      <w:i/>
      <w:iCs/>
      <w:color w:val="595959" w:themeColor="text1" w:themeTint="A6"/>
      <w:szCs w:val="26"/>
    </w:rPr>
  </w:style>
  <w:style w:type="character" w:customStyle="1" w:styleId="Heading6Char">
    <w:name w:val="Heading 6 Char"/>
    <w:basedOn w:val="DefaultParagraphFont"/>
    <w:link w:val="Heading6"/>
    <w:uiPriority w:val="9"/>
    <w:semiHidden/>
    <w:rsid w:val="00D55243"/>
    <w:rPr>
      <w:rFonts w:eastAsiaTheme="majorEastAsia" w:cstheme="majorBidi"/>
      <w:b/>
      <w:i/>
      <w:color w:val="666666"/>
      <w:szCs w:val="26"/>
    </w:rPr>
  </w:style>
  <w:style w:type="character" w:customStyle="1" w:styleId="Heading7Char">
    <w:name w:val="Heading 7 Char"/>
    <w:basedOn w:val="DefaultParagraphFont"/>
    <w:link w:val="Heading7"/>
    <w:uiPriority w:val="9"/>
    <w:semiHidden/>
    <w:rsid w:val="00D552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524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55243"/>
    <w:rPr>
      <w:rFonts w:asciiTheme="majorHAnsi" w:eastAsiaTheme="majorEastAsia" w:hAnsiTheme="majorHAnsi" w:cstheme="majorBidi"/>
      <w:i/>
      <w:iCs/>
      <w:color w:val="404040" w:themeColor="text1" w:themeTint="BF"/>
    </w:rPr>
  </w:style>
  <w:style w:type="paragraph" w:styleId="Caption">
    <w:name w:val="caption"/>
    <w:basedOn w:val="Normal"/>
    <w:next w:val="Normal"/>
    <w:autoRedefine/>
    <w:uiPriority w:val="3"/>
    <w:qFormat/>
    <w:rsid w:val="005170D3"/>
    <w:pPr>
      <w:keepNext/>
      <w:spacing w:before="140" w:after="80" w:line="240" w:lineRule="auto"/>
    </w:pPr>
    <w:rPr>
      <w:b/>
      <w:bCs/>
      <w:color w:val="1396D8"/>
      <w:szCs w:val="18"/>
    </w:rPr>
  </w:style>
  <w:style w:type="paragraph" w:styleId="Header">
    <w:name w:val="header"/>
    <w:basedOn w:val="Normal"/>
    <w:link w:val="HeaderChar"/>
    <w:autoRedefine/>
    <w:uiPriority w:val="99"/>
    <w:qFormat/>
    <w:rsid w:val="00041909"/>
    <w:pPr>
      <w:pBdr>
        <w:bottom w:val="single" w:sz="6" w:space="1" w:color="666666"/>
      </w:pBdr>
      <w:tabs>
        <w:tab w:val="center" w:pos="4680"/>
        <w:tab w:val="right" w:pos="9360"/>
      </w:tabs>
      <w:spacing w:after="0" w:line="240" w:lineRule="auto"/>
      <w:jc w:val="right"/>
    </w:pPr>
    <w:rPr>
      <w:i/>
    </w:rPr>
  </w:style>
  <w:style w:type="character" w:customStyle="1" w:styleId="HeaderChar">
    <w:name w:val="Header Char"/>
    <w:basedOn w:val="DefaultParagraphFont"/>
    <w:link w:val="Header"/>
    <w:uiPriority w:val="99"/>
    <w:rsid w:val="00041909"/>
    <w:rPr>
      <w:i/>
    </w:rPr>
  </w:style>
  <w:style w:type="paragraph" w:styleId="Footer">
    <w:name w:val="footer"/>
    <w:basedOn w:val="Normal"/>
    <w:link w:val="FooterChar"/>
    <w:autoRedefine/>
    <w:uiPriority w:val="99"/>
    <w:qFormat/>
    <w:rsid w:val="00760677"/>
    <w:pPr>
      <w:tabs>
        <w:tab w:val="center" w:pos="2160"/>
        <w:tab w:val="right" w:pos="9720"/>
      </w:tabs>
      <w:spacing w:after="0" w:line="240" w:lineRule="auto"/>
      <w:ind w:left="3600" w:hanging="3600"/>
    </w:pPr>
    <w:rPr>
      <w:sz w:val="16"/>
    </w:rPr>
  </w:style>
  <w:style w:type="character" w:customStyle="1" w:styleId="FooterChar">
    <w:name w:val="Footer Char"/>
    <w:basedOn w:val="DefaultParagraphFont"/>
    <w:link w:val="Footer"/>
    <w:uiPriority w:val="99"/>
    <w:rsid w:val="00760677"/>
    <w:rPr>
      <w:sz w:val="16"/>
    </w:rPr>
  </w:style>
  <w:style w:type="paragraph" w:styleId="NoteHeading">
    <w:name w:val="Note Heading"/>
    <w:aliases w:val="Note 1"/>
    <w:basedOn w:val="Normal"/>
    <w:next w:val="Normal"/>
    <w:link w:val="NoteHeadingChar"/>
    <w:uiPriority w:val="13"/>
    <w:qFormat/>
    <w:locked/>
    <w:rsid w:val="004C277B"/>
    <w:pPr>
      <w:pBdr>
        <w:top w:val="single" w:sz="18" w:space="6" w:color="C4ECFF" w:themeColor="accent1" w:themeTint="33"/>
        <w:left w:val="single" w:sz="18" w:space="10" w:color="C4ECFF" w:themeColor="accent1" w:themeTint="33"/>
        <w:bottom w:val="single" w:sz="18" w:space="6" w:color="C4ECFF" w:themeColor="accent1" w:themeTint="33"/>
        <w:right w:val="single" w:sz="18" w:space="10" w:color="C4ECFF" w:themeColor="accent1" w:themeTint="33"/>
      </w:pBdr>
      <w:shd w:val="clear" w:color="auto" w:fill="C4ECFF" w:themeFill="accent1" w:themeFillTint="33"/>
      <w:spacing w:before="120" w:after="120" w:line="240" w:lineRule="auto"/>
      <w:ind w:left="936" w:right="216"/>
      <w:jc w:val="both"/>
    </w:pPr>
    <w:rPr>
      <w:i/>
      <w:color w:val="0096D7" w:themeColor="accent1"/>
    </w:rPr>
  </w:style>
  <w:style w:type="character" w:customStyle="1" w:styleId="NoteHeadingChar">
    <w:name w:val="Note Heading Char"/>
    <w:aliases w:val="Note 1 Char"/>
    <w:basedOn w:val="DefaultParagraphFont"/>
    <w:link w:val="NoteHeading"/>
    <w:uiPriority w:val="13"/>
    <w:rsid w:val="004C277B"/>
    <w:rPr>
      <w:i/>
      <w:color w:val="0096D7" w:themeColor="accent1"/>
      <w:szCs w:val="22"/>
      <w:shd w:val="clear" w:color="auto" w:fill="C4ECFF" w:themeFill="accent1" w:themeFillTint="33"/>
    </w:rPr>
  </w:style>
  <w:style w:type="character" w:styleId="PageNumber">
    <w:name w:val="page number"/>
    <w:uiPriority w:val="99"/>
    <w:semiHidden/>
    <w:locked/>
    <w:rsid w:val="00112A69"/>
    <w:rPr>
      <w:rFonts w:eastAsiaTheme="minorEastAsia" w:cs="Arial"/>
      <w:sz w:val="16"/>
      <w:szCs w:val="16"/>
    </w:rPr>
  </w:style>
  <w:style w:type="character" w:styleId="Hyperlink">
    <w:name w:val="Hyperlink"/>
    <w:basedOn w:val="DefaultParagraphFont"/>
    <w:uiPriority w:val="99"/>
    <w:qFormat/>
    <w:rsid w:val="00677C5F"/>
    <w:rPr>
      <w:rFonts w:asciiTheme="minorHAnsi" w:hAnsiTheme="minorHAnsi"/>
      <w:color w:val="1396D8"/>
      <w:u w:val="single"/>
    </w:rPr>
  </w:style>
  <w:style w:type="paragraph" w:customStyle="1" w:styleId="Link">
    <w:name w:val="Link"/>
    <w:basedOn w:val="Normal"/>
    <w:link w:val="LinkChar"/>
    <w:autoRedefine/>
    <w:uiPriority w:val="11"/>
    <w:qFormat/>
    <w:rsid w:val="00112A69"/>
    <w:pPr>
      <w:spacing w:after="0" w:line="240" w:lineRule="auto"/>
    </w:pPr>
    <w:rPr>
      <w:rFonts w:eastAsia="Times New Roman" w:cs="Times New Roman"/>
      <w:color w:val="1396D8"/>
      <w:szCs w:val="24"/>
      <w:u w:val="single"/>
    </w:rPr>
  </w:style>
  <w:style w:type="character" w:customStyle="1" w:styleId="LinkChar">
    <w:name w:val="Link Char"/>
    <w:basedOn w:val="DefaultParagraphFont"/>
    <w:link w:val="Link"/>
    <w:uiPriority w:val="11"/>
    <w:rsid w:val="00D55243"/>
    <w:rPr>
      <w:rFonts w:eastAsia="Times New Roman" w:cs="Times New Roman"/>
      <w:color w:val="1396D8"/>
      <w:szCs w:val="24"/>
      <w:u w:val="single"/>
    </w:rPr>
  </w:style>
  <w:style w:type="character" w:styleId="IntenseReference">
    <w:name w:val="Intense Reference"/>
    <w:aliases w:val="Note 1 Bold"/>
    <w:basedOn w:val="DefaultParagraphFont"/>
    <w:uiPriority w:val="32"/>
    <w:locked/>
    <w:rsid w:val="00112A69"/>
    <w:rPr>
      <w:rFonts w:asciiTheme="minorHAnsi" w:hAnsiTheme="minorHAnsi"/>
      <w:b/>
      <w:bCs/>
      <w:smallCaps/>
      <w:color w:val="BD732A" w:themeColor="accent2"/>
      <w:spacing w:val="5"/>
      <w:sz w:val="20"/>
      <w:u w:val="none"/>
    </w:rPr>
  </w:style>
  <w:style w:type="paragraph" w:customStyle="1" w:styleId="BoldNote1">
    <w:name w:val="Bold Note 1"/>
    <w:basedOn w:val="NoteHeading"/>
    <w:uiPriority w:val="14"/>
    <w:qFormat/>
    <w:rsid w:val="00112A69"/>
    <w:rPr>
      <w:b/>
    </w:rPr>
  </w:style>
  <w:style w:type="paragraph" w:styleId="Quote">
    <w:name w:val="Quote"/>
    <w:basedOn w:val="Normal"/>
    <w:next w:val="Normal"/>
    <w:link w:val="QuoteChar"/>
    <w:uiPriority w:val="14"/>
    <w:qFormat/>
    <w:rsid w:val="00112A69"/>
    <w:pPr>
      <w:ind w:left="720" w:right="720"/>
    </w:pPr>
    <w:rPr>
      <w:iCs/>
      <w:color w:val="000000" w:themeColor="text1"/>
    </w:rPr>
  </w:style>
  <w:style w:type="character" w:customStyle="1" w:styleId="QuoteChar">
    <w:name w:val="Quote Char"/>
    <w:basedOn w:val="DefaultParagraphFont"/>
    <w:link w:val="Quote"/>
    <w:uiPriority w:val="14"/>
    <w:rsid w:val="00D55243"/>
    <w:rPr>
      <w:iCs/>
      <w:color w:val="000000" w:themeColor="text1"/>
    </w:rPr>
  </w:style>
  <w:style w:type="character" w:styleId="IntenseEmphasis">
    <w:name w:val="Intense Emphasis"/>
    <w:basedOn w:val="DefaultParagraphFont"/>
    <w:uiPriority w:val="5"/>
    <w:qFormat/>
    <w:locked/>
    <w:rsid w:val="00112A69"/>
    <w:rPr>
      <w:rFonts w:asciiTheme="minorHAnsi" w:hAnsiTheme="minorHAnsi"/>
      <w:b/>
      <w:bCs/>
      <w:i/>
      <w:iCs/>
      <w:color w:val="1396D8"/>
      <w:sz w:val="20"/>
    </w:rPr>
  </w:style>
  <w:style w:type="character" w:styleId="Emphasis">
    <w:name w:val="Emphasis"/>
    <w:basedOn w:val="DefaultParagraphFont"/>
    <w:uiPriority w:val="20"/>
    <w:qFormat/>
    <w:rsid w:val="00F80AF1"/>
    <w:rPr>
      <w:rFonts w:asciiTheme="minorHAnsi" w:hAnsiTheme="minorHAnsi"/>
      <w:b/>
      <w:iCs/>
      <w:sz w:val="22"/>
    </w:rPr>
  </w:style>
  <w:style w:type="paragraph" w:styleId="BodyText">
    <w:name w:val="Body Text"/>
    <w:basedOn w:val="Normal"/>
    <w:link w:val="BodyTextChar"/>
    <w:uiPriority w:val="99"/>
    <w:semiHidden/>
    <w:unhideWhenUsed/>
    <w:locked/>
    <w:rsid w:val="00015DA7"/>
    <w:pPr>
      <w:spacing w:after="120"/>
    </w:pPr>
  </w:style>
  <w:style w:type="character" w:customStyle="1" w:styleId="BodyTextChar">
    <w:name w:val="Body Text Char"/>
    <w:basedOn w:val="DefaultParagraphFont"/>
    <w:link w:val="BodyText"/>
    <w:uiPriority w:val="99"/>
    <w:semiHidden/>
    <w:rsid w:val="00015DA7"/>
    <w:rPr>
      <w:sz w:val="20"/>
    </w:rPr>
  </w:style>
  <w:style w:type="paragraph" w:styleId="BodyTextFirstIndent">
    <w:name w:val="Body Text First Indent"/>
    <w:aliases w:val="Style Left 0.5"/>
    <w:basedOn w:val="BodyText"/>
    <w:link w:val="BodyTextFirstIndentChar"/>
    <w:autoRedefine/>
    <w:uiPriority w:val="99"/>
    <w:semiHidden/>
    <w:qFormat/>
    <w:locked/>
    <w:rsid w:val="00112A69"/>
    <w:pPr>
      <w:spacing w:after="200"/>
      <w:ind w:left="720"/>
    </w:pPr>
  </w:style>
  <w:style w:type="character" w:customStyle="1" w:styleId="BodyTextFirstIndentChar">
    <w:name w:val="Body Text First Indent Char"/>
    <w:aliases w:val="Style Left 0.5 Char"/>
    <w:basedOn w:val="BodyTextChar"/>
    <w:link w:val="BodyTextFirstIndent"/>
    <w:uiPriority w:val="99"/>
    <w:semiHidden/>
    <w:rsid w:val="00E03CE6"/>
    <w:rPr>
      <w:sz w:val="20"/>
    </w:rPr>
  </w:style>
  <w:style w:type="paragraph" w:customStyle="1" w:styleId="Left05Indent">
    <w:name w:val="Left 0.5&quot; Indent"/>
    <w:basedOn w:val="BodyTextFirstIndent"/>
    <w:autoRedefine/>
    <w:semiHidden/>
    <w:qFormat/>
    <w:locked/>
    <w:rsid w:val="0099448B"/>
    <w:pPr>
      <w:ind w:left="360"/>
    </w:pPr>
    <w:rPr>
      <w:rFonts w:cs="Arial"/>
    </w:rPr>
  </w:style>
  <w:style w:type="paragraph" w:styleId="NormalWeb">
    <w:name w:val="Normal (Web)"/>
    <w:basedOn w:val="Normal"/>
    <w:uiPriority w:val="99"/>
    <w:unhideWhenUsed/>
    <w:locked/>
    <w:rsid w:val="00015DA7"/>
    <w:pPr>
      <w:spacing w:after="292" w:line="292" w:lineRule="atLeast"/>
    </w:pPr>
    <w:rPr>
      <w:rFonts w:ascii="Times New Roman" w:eastAsia="Times New Roman" w:hAnsi="Times New Roman" w:cs="Times New Roman"/>
      <w:sz w:val="23"/>
      <w:szCs w:val="23"/>
    </w:rPr>
  </w:style>
  <w:style w:type="paragraph" w:styleId="ListParagraph">
    <w:name w:val="List Paragraph"/>
    <w:basedOn w:val="Normal"/>
    <w:autoRedefine/>
    <w:uiPriority w:val="34"/>
    <w:qFormat/>
    <w:rsid w:val="00F80AF1"/>
    <w:pPr>
      <w:numPr>
        <w:numId w:val="13"/>
      </w:numPr>
      <w:ind w:left="720"/>
      <w:contextualSpacing/>
    </w:pPr>
  </w:style>
  <w:style w:type="paragraph" w:styleId="TOCHeading">
    <w:name w:val="TOC Heading"/>
    <w:basedOn w:val="Heading1"/>
    <w:next w:val="Normal"/>
    <w:autoRedefine/>
    <w:uiPriority w:val="23"/>
    <w:qFormat/>
    <w:rsid w:val="005B2B58"/>
    <w:pPr>
      <w:numPr>
        <w:numId w:val="0"/>
      </w:numPr>
      <w:pBdr>
        <w:bottom w:val="single" w:sz="4" w:space="1" w:color="BFBFBF" w:themeColor="background1" w:themeShade="BF"/>
      </w:pBdr>
      <w:spacing w:before="480" w:line="240" w:lineRule="auto"/>
      <w:outlineLvl w:val="9"/>
    </w:pPr>
    <w:rPr>
      <w:color w:val="0096D7" w:themeColor="accent1"/>
    </w:rPr>
  </w:style>
  <w:style w:type="paragraph" w:styleId="TOC1">
    <w:name w:val="toc 1"/>
    <w:basedOn w:val="Normal"/>
    <w:next w:val="Normal"/>
    <w:autoRedefine/>
    <w:uiPriority w:val="39"/>
    <w:qFormat/>
    <w:rsid w:val="00047C08"/>
    <w:pPr>
      <w:tabs>
        <w:tab w:val="left" w:pos="400"/>
        <w:tab w:val="right" w:leader="dot" w:pos="9350"/>
      </w:tabs>
      <w:spacing w:after="100"/>
    </w:pPr>
    <w:rPr>
      <w:color w:val="000000" w:themeColor="text1"/>
    </w:rPr>
  </w:style>
  <w:style w:type="paragraph" w:styleId="TOC2">
    <w:name w:val="toc 2"/>
    <w:basedOn w:val="TOC1"/>
    <w:next w:val="Normal"/>
    <w:autoRedefine/>
    <w:uiPriority w:val="39"/>
    <w:qFormat/>
    <w:rsid w:val="00227E4B"/>
    <w:pPr>
      <w:ind w:left="288"/>
    </w:pPr>
  </w:style>
  <w:style w:type="paragraph" w:styleId="TOC3">
    <w:name w:val="toc 3"/>
    <w:basedOn w:val="TOC2"/>
    <w:next w:val="Normal"/>
    <w:autoRedefine/>
    <w:uiPriority w:val="39"/>
    <w:qFormat/>
    <w:rsid w:val="00047C08"/>
    <w:pPr>
      <w:ind w:left="648"/>
    </w:pPr>
  </w:style>
  <w:style w:type="paragraph" w:styleId="BalloonText">
    <w:name w:val="Balloon Text"/>
    <w:basedOn w:val="Normal"/>
    <w:link w:val="BalloonTextChar"/>
    <w:uiPriority w:val="99"/>
    <w:semiHidden/>
    <w:locked/>
    <w:rsid w:val="00901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43"/>
    <w:rPr>
      <w:rFonts w:ascii="Tahoma" w:hAnsi="Tahoma" w:cs="Tahoma"/>
      <w:sz w:val="16"/>
      <w:szCs w:val="16"/>
    </w:rPr>
  </w:style>
  <w:style w:type="paragraph" w:customStyle="1" w:styleId="Boxtext">
    <w:name w:val="Box text"/>
    <w:basedOn w:val="BodyText"/>
    <w:uiPriority w:val="2"/>
    <w:qFormat/>
    <w:rsid w:val="00112A69"/>
    <w:pPr>
      <w:pBdr>
        <w:top w:val="single" w:sz="4" w:space="2" w:color="auto"/>
        <w:left w:val="single" w:sz="4" w:space="4" w:color="auto"/>
        <w:bottom w:val="single" w:sz="4" w:space="4" w:color="auto"/>
        <w:right w:val="single" w:sz="4" w:space="4" w:color="auto"/>
      </w:pBdr>
      <w:spacing w:before="120" w:after="80"/>
    </w:pPr>
    <w:rPr>
      <w:rFonts w:eastAsiaTheme="minorEastAsia" w:cs="Times New Roman"/>
    </w:rPr>
  </w:style>
  <w:style w:type="paragraph" w:styleId="BodyTextIndent3">
    <w:name w:val="Body Text Indent 3"/>
    <w:aliases w:val="Table Text .25 ndent"/>
    <w:basedOn w:val="Normal"/>
    <w:link w:val="BodyTextIndent3Char"/>
    <w:autoRedefine/>
    <w:uiPriority w:val="99"/>
    <w:semiHidden/>
    <w:qFormat/>
    <w:locked/>
    <w:rsid w:val="00112A69"/>
    <w:pPr>
      <w:framePr w:hSpace="180" w:wrap="around" w:vAnchor="text" w:hAnchor="margin" w:y="110"/>
      <w:spacing w:before="60" w:after="0" w:line="240" w:lineRule="auto"/>
      <w:ind w:left="187"/>
    </w:pPr>
    <w:rPr>
      <w:rFonts w:ascii="Arial" w:eastAsiaTheme="minorEastAsia" w:hAnsi="Arial" w:cs="Arial"/>
      <w:color w:val="000000"/>
      <w:sz w:val="16"/>
      <w:szCs w:val="16"/>
    </w:rPr>
  </w:style>
  <w:style w:type="character" w:customStyle="1" w:styleId="BodyTextIndent3Char">
    <w:name w:val="Body Text Indent 3 Char"/>
    <w:aliases w:val="Table Text .25 ndent Char"/>
    <w:basedOn w:val="DefaultParagraphFont"/>
    <w:link w:val="BodyTextIndent3"/>
    <w:uiPriority w:val="99"/>
    <w:semiHidden/>
    <w:rsid w:val="00E03CE6"/>
    <w:rPr>
      <w:rFonts w:ascii="Arial" w:eastAsiaTheme="minorEastAsia" w:hAnsi="Arial" w:cs="Arial"/>
      <w:color w:val="000000"/>
      <w:sz w:val="16"/>
      <w:szCs w:val="16"/>
    </w:rPr>
  </w:style>
  <w:style w:type="paragraph" w:styleId="FootnoteText">
    <w:name w:val="footnote text"/>
    <w:basedOn w:val="Normal"/>
    <w:link w:val="FootnoteTextChar"/>
    <w:autoRedefine/>
    <w:uiPriority w:val="7"/>
    <w:qFormat/>
    <w:rsid w:val="00C7266E"/>
    <w:pPr>
      <w:spacing w:after="0" w:line="240" w:lineRule="atLeast"/>
      <w:contextualSpacing/>
    </w:pPr>
    <w:rPr>
      <w:sz w:val="18"/>
    </w:rPr>
  </w:style>
  <w:style w:type="character" w:customStyle="1" w:styleId="FootnoteTextChar">
    <w:name w:val="Footnote Text Char"/>
    <w:basedOn w:val="DefaultParagraphFont"/>
    <w:link w:val="FootnoteText"/>
    <w:uiPriority w:val="7"/>
    <w:rsid w:val="00C7266E"/>
    <w:rPr>
      <w:sz w:val="18"/>
    </w:rPr>
  </w:style>
  <w:style w:type="character" w:styleId="FootnoteReference">
    <w:name w:val="footnote reference"/>
    <w:basedOn w:val="DefaultParagraphFont"/>
    <w:uiPriority w:val="8"/>
    <w:rsid w:val="00965A44"/>
    <w:rPr>
      <w:vertAlign w:val="superscript"/>
    </w:rPr>
  </w:style>
  <w:style w:type="paragraph" w:styleId="List">
    <w:name w:val="List"/>
    <w:basedOn w:val="Normal"/>
    <w:uiPriority w:val="99"/>
    <w:semiHidden/>
    <w:locked/>
    <w:rsid w:val="00112A69"/>
    <w:pPr>
      <w:ind w:left="360" w:hanging="360"/>
      <w:contextualSpacing/>
    </w:pPr>
  </w:style>
  <w:style w:type="paragraph" w:styleId="List2">
    <w:name w:val="List 2"/>
    <w:basedOn w:val="Normal"/>
    <w:uiPriority w:val="99"/>
    <w:semiHidden/>
    <w:locked/>
    <w:rsid w:val="00112A69"/>
    <w:pPr>
      <w:ind w:left="720" w:hanging="360"/>
      <w:contextualSpacing/>
    </w:pPr>
  </w:style>
  <w:style w:type="paragraph" w:styleId="List3">
    <w:name w:val="List 3"/>
    <w:basedOn w:val="Normal"/>
    <w:uiPriority w:val="99"/>
    <w:semiHidden/>
    <w:locked/>
    <w:rsid w:val="00112A69"/>
    <w:pPr>
      <w:ind w:left="1080" w:hanging="360"/>
      <w:contextualSpacing/>
    </w:pPr>
  </w:style>
  <w:style w:type="paragraph" w:styleId="List4">
    <w:name w:val="List 4"/>
    <w:basedOn w:val="Normal"/>
    <w:uiPriority w:val="99"/>
    <w:semiHidden/>
    <w:locked/>
    <w:rsid w:val="00112A69"/>
    <w:pPr>
      <w:ind w:left="1440" w:hanging="360"/>
      <w:contextualSpacing/>
    </w:pPr>
  </w:style>
  <w:style w:type="paragraph" w:styleId="List5">
    <w:name w:val="List 5"/>
    <w:basedOn w:val="Normal"/>
    <w:uiPriority w:val="99"/>
    <w:semiHidden/>
    <w:locked/>
    <w:rsid w:val="00112A69"/>
    <w:pPr>
      <w:ind w:left="1800" w:hanging="360"/>
      <w:contextualSpacing/>
    </w:pPr>
  </w:style>
  <w:style w:type="paragraph" w:styleId="ListBullet">
    <w:name w:val="List Bullet"/>
    <w:basedOn w:val="Normal"/>
    <w:uiPriority w:val="99"/>
    <w:semiHidden/>
    <w:locked/>
    <w:rsid w:val="00112A69"/>
    <w:pPr>
      <w:numPr>
        <w:numId w:val="34"/>
      </w:numPr>
      <w:contextualSpacing/>
    </w:pPr>
  </w:style>
  <w:style w:type="paragraph" w:styleId="ListBullet2">
    <w:name w:val="List Bullet 2"/>
    <w:basedOn w:val="Normal"/>
    <w:uiPriority w:val="99"/>
    <w:semiHidden/>
    <w:locked/>
    <w:rsid w:val="00112A69"/>
    <w:pPr>
      <w:numPr>
        <w:numId w:val="35"/>
      </w:numPr>
      <w:contextualSpacing/>
    </w:pPr>
  </w:style>
  <w:style w:type="paragraph" w:styleId="ListBullet3">
    <w:name w:val="List Bullet 3"/>
    <w:basedOn w:val="Normal"/>
    <w:uiPriority w:val="99"/>
    <w:semiHidden/>
    <w:locked/>
    <w:rsid w:val="00112A69"/>
    <w:pPr>
      <w:numPr>
        <w:numId w:val="36"/>
      </w:numPr>
      <w:contextualSpacing/>
    </w:pPr>
  </w:style>
  <w:style w:type="paragraph" w:styleId="ListBullet4">
    <w:name w:val="List Bullet 4"/>
    <w:basedOn w:val="Normal"/>
    <w:uiPriority w:val="99"/>
    <w:semiHidden/>
    <w:locked/>
    <w:rsid w:val="00112A69"/>
    <w:pPr>
      <w:numPr>
        <w:numId w:val="37"/>
      </w:numPr>
      <w:contextualSpacing/>
    </w:pPr>
  </w:style>
  <w:style w:type="paragraph" w:styleId="ListContinue2">
    <w:name w:val="List Continue 2"/>
    <w:basedOn w:val="Normal"/>
    <w:uiPriority w:val="99"/>
    <w:semiHidden/>
    <w:locked/>
    <w:rsid w:val="00112A69"/>
    <w:pPr>
      <w:spacing w:after="120"/>
      <w:ind w:left="720"/>
      <w:contextualSpacing/>
    </w:pPr>
  </w:style>
  <w:style w:type="paragraph" w:styleId="ListContinue4">
    <w:name w:val="List Continue 4"/>
    <w:basedOn w:val="Normal"/>
    <w:uiPriority w:val="99"/>
    <w:semiHidden/>
    <w:locked/>
    <w:rsid w:val="00112A69"/>
    <w:pPr>
      <w:spacing w:after="120"/>
      <w:ind w:left="1440"/>
      <w:contextualSpacing/>
    </w:pPr>
  </w:style>
  <w:style w:type="character" w:styleId="LineNumber">
    <w:name w:val="line number"/>
    <w:basedOn w:val="DefaultParagraphFont"/>
    <w:uiPriority w:val="99"/>
    <w:semiHidden/>
    <w:locked/>
    <w:rsid w:val="00112A69"/>
  </w:style>
  <w:style w:type="paragraph" w:styleId="Index1">
    <w:name w:val="index 1"/>
    <w:basedOn w:val="Normal"/>
    <w:next w:val="Normal"/>
    <w:autoRedefine/>
    <w:uiPriority w:val="99"/>
    <w:semiHidden/>
    <w:unhideWhenUsed/>
    <w:locked/>
    <w:rsid w:val="00E27661"/>
    <w:pPr>
      <w:spacing w:after="0" w:line="240" w:lineRule="auto"/>
      <w:ind w:left="200" w:hanging="200"/>
    </w:pPr>
  </w:style>
  <w:style w:type="paragraph" w:styleId="IndexHeading">
    <w:name w:val="index heading"/>
    <w:basedOn w:val="Normal"/>
    <w:next w:val="Index1"/>
    <w:uiPriority w:val="99"/>
    <w:semiHidden/>
    <w:locked/>
    <w:rsid w:val="00112A69"/>
    <w:rPr>
      <w:rFonts w:asciiTheme="majorHAnsi" w:eastAsiaTheme="majorEastAsia" w:hAnsiTheme="majorHAnsi" w:cstheme="majorBidi"/>
      <w:b/>
      <w:bCs/>
    </w:rPr>
  </w:style>
  <w:style w:type="paragraph" w:customStyle="1" w:styleId="Text">
    <w:name w:val="Text"/>
    <w:basedOn w:val="BodyTextIndent3"/>
    <w:autoRedefine/>
    <w:uiPriority w:val="99"/>
    <w:semiHidden/>
    <w:qFormat/>
    <w:locked/>
    <w:rsid w:val="00112A69"/>
    <w:pPr>
      <w:framePr w:wrap="around"/>
      <w:ind w:left="180"/>
    </w:pPr>
  </w:style>
  <w:style w:type="paragraph" w:customStyle="1" w:styleId="TableTextIndent25">
    <w:name w:val="Table Text Indent .25"/>
    <w:basedOn w:val="Normal"/>
    <w:next w:val="Normal"/>
    <w:autoRedefine/>
    <w:uiPriority w:val="99"/>
    <w:semiHidden/>
    <w:qFormat/>
    <w:locked/>
    <w:rsid w:val="00112A69"/>
    <w:pPr>
      <w:spacing w:before="60" w:after="0" w:line="240" w:lineRule="auto"/>
      <w:ind w:left="216"/>
    </w:pPr>
    <w:rPr>
      <w:sz w:val="16"/>
    </w:rPr>
  </w:style>
  <w:style w:type="paragraph" w:customStyle="1" w:styleId="BoldTableStyle">
    <w:name w:val="Bold Table Style"/>
    <w:basedOn w:val="Normal"/>
    <w:autoRedefine/>
    <w:semiHidden/>
    <w:qFormat/>
    <w:locked/>
    <w:rsid w:val="00112A69"/>
    <w:pPr>
      <w:framePr w:hSpace="180" w:wrap="around" w:vAnchor="text" w:hAnchor="margin" w:y="110"/>
      <w:spacing w:before="40" w:after="40" w:line="240" w:lineRule="auto"/>
    </w:pPr>
    <w:rPr>
      <w:rFonts w:eastAsiaTheme="minorEastAsia" w:cs="Arial"/>
      <w:b/>
      <w:color w:val="000000"/>
      <w:sz w:val="16"/>
      <w:szCs w:val="16"/>
    </w:rPr>
  </w:style>
  <w:style w:type="paragraph" w:styleId="TOC4">
    <w:name w:val="toc 4"/>
    <w:basedOn w:val="TOC3"/>
    <w:next w:val="Normal"/>
    <w:autoRedefine/>
    <w:uiPriority w:val="39"/>
    <w:qFormat/>
    <w:rsid w:val="00F575F0"/>
    <w:pPr>
      <w:ind w:left="1008"/>
    </w:pPr>
    <w:rPr>
      <w:noProof/>
    </w:rPr>
  </w:style>
  <w:style w:type="paragraph" w:styleId="ListNumber">
    <w:name w:val="List Number"/>
    <w:basedOn w:val="Normal"/>
    <w:uiPriority w:val="20"/>
    <w:locked/>
    <w:rsid w:val="00046593"/>
    <w:pPr>
      <w:numPr>
        <w:numId w:val="7"/>
      </w:numPr>
      <w:contextualSpacing/>
    </w:pPr>
  </w:style>
  <w:style w:type="table" w:customStyle="1" w:styleId="LightShading1">
    <w:name w:val="Light Shading1"/>
    <w:basedOn w:val="TableNormal"/>
    <w:uiPriority w:val="60"/>
    <w:locked/>
    <w:rsid w:val="00A00D7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rsid w:val="002207DF"/>
    <w:pPr>
      <w:spacing w:after="0"/>
    </w:pPr>
  </w:style>
  <w:style w:type="character" w:styleId="PlaceholderText">
    <w:name w:val="Placeholder Text"/>
    <w:basedOn w:val="DefaultParagraphFont"/>
    <w:uiPriority w:val="99"/>
    <w:semiHidden/>
    <w:locked/>
    <w:rsid w:val="002B0FD2"/>
    <w:rPr>
      <w:color w:val="808080"/>
    </w:rPr>
  </w:style>
  <w:style w:type="paragraph" w:styleId="Title">
    <w:name w:val="Title"/>
    <w:basedOn w:val="Normal"/>
    <w:next w:val="Normal"/>
    <w:link w:val="TitleChar"/>
    <w:autoRedefine/>
    <w:uiPriority w:val="99"/>
    <w:semiHidden/>
    <w:qFormat/>
    <w:locked/>
    <w:rsid w:val="002B0FD2"/>
    <w:pPr>
      <w:spacing w:after="360" w:line="240" w:lineRule="auto"/>
      <w:contextualSpacing/>
    </w:pPr>
    <w:rPr>
      <w:rFonts w:asciiTheme="majorHAnsi" w:eastAsiaTheme="majorEastAsia" w:hAnsiTheme="majorHAnsi" w:cstheme="majorBidi"/>
      <w:color w:val="139CD8"/>
      <w:spacing w:val="5"/>
      <w:kern w:val="28"/>
      <w:sz w:val="52"/>
      <w:szCs w:val="52"/>
    </w:rPr>
  </w:style>
  <w:style w:type="character" w:customStyle="1" w:styleId="TitleChar">
    <w:name w:val="Title Char"/>
    <w:basedOn w:val="DefaultParagraphFont"/>
    <w:link w:val="Title"/>
    <w:uiPriority w:val="99"/>
    <w:semiHidden/>
    <w:rsid w:val="00E03CE6"/>
    <w:rPr>
      <w:rFonts w:asciiTheme="majorHAnsi" w:eastAsiaTheme="majorEastAsia" w:hAnsiTheme="majorHAnsi" w:cstheme="majorBidi"/>
      <w:color w:val="139CD8"/>
      <w:spacing w:val="5"/>
      <w:kern w:val="28"/>
      <w:sz w:val="52"/>
      <w:szCs w:val="52"/>
    </w:rPr>
  </w:style>
  <w:style w:type="paragraph" w:styleId="Date">
    <w:name w:val="Date"/>
    <w:basedOn w:val="Normal"/>
    <w:next w:val="Normal"/>
    <w:link w:val="DateChar"/>
    <w:autoRedefine/>
    <w:uiPriority w:val="4"/>
    <w:qFormat/>
    <w:locked/>
    <w:rsid w:val="002B0FD2"/>
    <w:rPr>
      <w:color w:val="7E8E9A"/>
    </w:rPr>
  </w:style>
  <w:style w:type="character" w:customStyle="1" w:styleId="DateChar">
    <w:name w:val="Date Char"/>
    <w:basedOn w:val="DefaultParagraphFont"/>
    <w:link w:val="Date"/>
    <w:uiPriority w:val="4"/>
    <w:rsid w:val="00D55243"/>
    <w:rPr>
      <w:color w:val="7E8E9A"/>
      <w:sz w:val="22"/>
    </w:rPr>
  </w:style>
  <w:style w:type="table" w:styleId="ColorfulList-Accent3">
    <w:name w:val="Colorful List Accent 3"/>
    <w:basedOn w:val="TableNormal"/>
    <w:uiPriority w:val="72"/>
    <w:locked/>
    <w:rsid w:val="00D55243"/>
    <w:pPr>
      <w:spacing w:after="0"/>
    </w:pPr>
    <w:rPr>
      <w:color w:val="000000" w:themeColor="text1"/>
    </w:rPr>
    <w:tblPr>
      <w:tblStyleRowBandSize w:val="1"/>
      <w:tblStyleColBandSize w:val="1"/>
    </w:tblPr>
    <w:tcPr>
      <w:shd w:val="clear" w:color="auto" w:fill="EEF7E8" w:themeFill="accent3" w:themeFillTint="19"/>
    </w:tcPr>
    <w:tblStylePr w:type="firstRow">
      <w:rPr>
        <w:b/>
        <w:bCs/>
        <w:color w:val="FFFFFF" w:themeColor="background1"/>
      </w:rPr>
      <w:tblPr/>
      <w:tcPr>
        <w:tcBorders>
          <w:bottom w:val="single" w:sz="12" w:space="0" w:color="FFFFFF" w:themeColor="background1"/>
        </w:tcBorders>
        <w:shd w:val="clear" w:color="auto" w:fill="CD9F00" w:themeFill="accent4" w:themeFillShade="CC"/>
      </w:tcPr>
    </w:tblStylePr>
    <w:tblStylePr w:type="lastRow">
      <w:rPr>
        <w:b/>
        <w:bCs/>
        <w:color w:val="CD9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C5" w:themeFill="accent3" w:themeFillTint="3F"/>
      </w:tcPr>
    </w:tblStylePr>
    <w:tblStylePr w:type="band1Horz">
      <w:tblPr/>
      <w:tcPr>
        <w:shd w:val="clear" w:color="auto" w:fill="DDEFD0" w:themeFill="accent3" w:themeFillTint="33"/>
      </w:tcPr>
    </w:tblStylePr>
  </w:style>
  <w:style w:type="table" w:styleId="ColorfulGrid-Accent6">
    <w:name w:val="Colorful Grid Accent 6"/>
    <w:basedOn w:val="TableNormal"/>
    <w:uiPriority w:val="73"/>
    <w:locked/>
    <w:rsid w:val="00D55243"/>
    <w:pPr>
      <w:spacing w:after="0"/>
    </w:pPr>
    <w:rPr>
      <w:color w:val="000000" w:themeColor="text1"/>
    </w:rPr>
    <w:tblPr>
      <w:tblStyleRowBandSize w:val="1"/>
      <w:tblStyleColBandSize w:val="1"/>
      <w:tblBorders>
        <w:insideH w:val="single" w:sz="4" w:space="0" w:color="FFFFFF" w:themeColor="background1"/>
      </w:tblBorders>
    </w:tblPr>
    <w:tcPr>
      <w:shd w:val="clear" w:color="auto" w:fill="FBEAB2" w:themeFill="accent6" w:themeFillTint="33"/>
    </w:tcPr>
    <w:tblStylePr w:type="firstRow">
      <w:rPr>
        <w:b/>
        <w:bCs/>
      </w:rPr>
      <w:tblPr/>
      <w:tcPr>
        <w:shd w:val="clear" w:color="auto" w:fill="F7D565" w:themeFill="accent6" w:themeFillTint="66"/>
      </w:tcPr>
    </w:tblStylePr>
    <w:tblStylePr w:type="lastRow">
      <w:rPr>
        <w:b/>
        <w:bCs/>
        <w:color w:val="000000" w:themeColor="text1"/>
      </w:rPr>
      <w:tblPr/>
      <w:tcPr>
        <w:shd w:val="clear" w:color="auto" w:fill="F7D565" w:themeFill="accent6" w:themeFillTint="66"/>
      </w:tcPr>
    </w:tblStylePr>
    <w:tblStylePr w:type="firstCol">
      <w:rPr>
        <w:color w:val="FFFFFF" w:themeColor="background1"/>
      </w:rPr>
      <w:tblPr/>
      <w:tcPr>
        <w:shd w:val="clear" w:color="auto" w:fill="4C3B03" w:themeFill="accent6" w:themeFillShade="BF"/>
      </w:tcPr>
    </w:tblStylePr>
    <w:tblStylePr w:type="lastCol">
      <w:rPr>
        <w:color w:val="FFFFFF" w:themeColor="background1"/>
      </w:rPr>
      <w:tblPr/>
      <w:tcPr>
        <w:shd w:val="clear" w:color="auto" w:fill="4C3B03" w:themeFill="accent6" w:themeFillShade="BF"/>
      </w:tcPr>
    </w:tblStylePr>
    <w:tblStylePr w:type="band1Vert">
      <w:tblPr/>
      <w:tcPr>
        <w:shd w:val="clear" w:color="auto" w:fill="F5CB3F" w:themeFill="accent6" w:themeFillTint="7F"/>
      </w:tcPr>
    </w:tblStylePr>
    <w:tblStylePr w:type="band1Horz">
      <w:tblPr/>
      <w:tcPr>
        <w:shd w:val="clear" w:color="auto" w:fill="F5CB3F" w:themeFill="accent6" w:themeFillTint="7F"/>
      </w:tcPr>
    </w:tblStylePr>
  </w:style>
  <w:style w:type="table" w:styleId="TableGrid">
    <w:name w:val="Table Grid"/>
    <w:basedOn w:val="TableNormal"/>
    <w:uiPriority w:val="59"/>
    <w:locked/>
    <w:rsid w:val="00FB08E3"/>
    <w:pPr>
      <w:spacing w:after="0"/>
      <w:jc w:val="right"/>
    </w:pPr>
    <w:rPr>
      <w:sz w:val="18"/>
    </w:rPr>
    <w:tblPr>
      <w:tblStyleRowBandSize w:val="1"/>
      <w:tblStyleColBandSize w:val="1"/>
    </w:tblPr>
    <w:tblStylePr w:type="firstRow">
      <w:pPr>
        <w:jc w:val="right"/>
      </w:pPr>
      <w:rPr>
        <w:b/>
      </w:rPr>
      <w:tblPr/>
      <w:tcPr>
        <w:tcBorders>
          <w:bottom w:val="single" w:sz="18" w:space="0" w:color="0096D7" w:themeColor="accent1"/>
        </w:tcBorders>
        <w:vAlign w:val="bottom"/>
      </w:tcPr>
    </w:tblStylePr>
    <w:tblStylePr w:type="lastRow">
      <w:rPr>
        <w:b w:val="0"/>
      </w:rPr>
      <w:tblPr/>
      <w:tcPr>
        <w:tcBorders>
          <w:top w:val="single" w:sz="12" w:space="0" w:color="0096D7" w:themeColor="accent1"/>
        </w:tcBorders>
      </w:tcPr>
    </w:tblStylePr>
    <w:tblStylePr w:type="firstCol">
      <w:pPr>
        <w:wordWrap/>
        <w:jc w:val="left"/>
      </w:pPr>
    </w:tblStylePr>
    <w:tblStylePr w:type="band1Horz">
      <w:pPr>
        <w:wordWrap/>
        <w:jc w:val="right"/>
      </w:pPr>
      <w:tblPr/>
      <w:tcPr>
        <w:tcBorders>
          <w:bottom w:val="dashed" w:sz="4" w:space="0" w:color="BFBFBF" w:themeColor="background1" w:themeShade="BF"/>
        </w:tcBorders>
      </w:tcPr>
    </w:tblStylePr>
    <w:tblStylePr w:type="band2Horz">
      <w:pPr>
        <w:wordWrap/>
        <w:jc w:val="right"/>
      </w:pPr>
      <w:tblPr/>
      <w:tcPr>
        <w:tcBorders>
          <w:bottom w:val="dashed" w:sz="4" w:space="0" w:color="BFBFBF" w:themeColor="background1" w:themeShade="BF"/>
        </w:tcBorders>
      </w:tcPr>
    </w:tblStylePr>
    <w:tblStylePr w:type="nwCell">
      <w:pPr>
        <w:jc w:val="left"/>
      </w:pPr>
      <w:tblPr/>
      <w:tcPr>
        <w:vAlign w:val="bottom"/>
      </w:tcPr>
    </w:tblStylePr>
  </w:style>
  <w:style w:type="paragraph" w:customStyle="1" w:styleId="Tablefootnotetext">
    <w:name w:val="Table footnote text"/>
    <w:basedOn w:val="FootnoteText"/>
    <w:uiPriority w:val="8"/>
    <w:qFormat/>
    <w:rsid w:val="00C7266E"/>
    <w:rPr>
      <w:i/>
    </w:rPr>
  </w:style>
  <w:style w:type="character" w:styleId="Strong">
    <w:name w:val="Strong"/>
    <w:basedOn w:val="DefaultParagraphFont"/>
    <w:uiPriority w:val="22"/>
    <w:qFormat/>
    <w:locked/>
    <w:rsid w:val="00677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7035">
      <w:bodyDiv w:val="1"/>
      <w:marLeft w:val="0"/>
      <w:marRight w:val="0"/>
      <w:marTop w:val="0"/>
      <w:marBottom w:val="0"/>
      <w:divBdr>
        <w:top w:val="none" w:sz="0" w:space="0" w:color="auto"/>
        <w:left w:val="none" w:sz="0" w:space="0" w:color="auto"/>
        <w:bottom w:val="none" w:sz="0" w:space="0" w:color="auto"/>
        <w:right w:val="none" w:sz="0" w:space="0" w:color="auto"/>
      </w:divBdr>
    </w:div>
    <w:div w:id="163906382">
      <w:bodyDiv w:val="1"/>
      <w:marLeft w:val="0"/>
      <w:marRight w:val="0"/>
      <w:marTop w:val="0"/>
      <w:marBottom w:val="0"/>
      <w:divBdr>
        <w:top w:val="none" w:sz="0" w:space="0" w:color="auto"/>
        <w:left w:val="none" w:sz="0" w:space="0" w:color="auto"/>
        <w:bottom w:val="none" w:sz="0" w:space="0" w:color="auto"/>
        <w:right w:val="none" w:sz="0" w:space="0" w:color="auto"/>
      </w:divBdr>
    </w:div>
    <w:div w:id="250704288">
      <w:bodyDiv w:val="1"/>
      <w:marLeft w:val="0"/>
      <w:marRight w:val="0"/>
      <w:marTop w:val="0"/>
      <w:marBottom w:val="0"/>
      <w:divBdr>
        <w:top w:val="none" w:sz="0" w:space="0" w:color="auto"/>
        <w:left w:val="none" w:sz="0" w:space="0" w:color="auto"/>
        <w:bottom w:val="none" w:sz="0" w:space="0" w:color="auto"/>
        <w:right w:val="none" w:sz="0" w:space="0" w:color="auto"/>
      </w:divBdr>
    </w:div>
    <w:div w:id="335571170">
      <w:bodyDiv w:val="1"/>
      <w:marLeft w:val="0"/>
      <w:marRight w:val="0"/>
      <w:marTop w:val="0"/>
      <w:marBottom w:val="0"/>
      <w:divBdr>
        <w:top w:val="none" w:sz="0" w:space="0" w:color="auto"/>
        <w:left w:val="none" w:sz="0" w:space="0" w:color="auto"/>
        <w:bottom w:val="none" w:sz="0" w:space="0" w:color="auto"/>
        <w:right w:val="none" w:sz="0" w:space="0" w:color="auto"/>
      </w:divBdr>
    </w:div>
    <w:div w:id="339814673">
      <w:bodyDiv w:val="1"/>
      <w:marLeft w:val="0"/>
      <w:marRight w:val="0"/>
      <w:marTop w:val="0"/>
      <w:marBottom w:val="0"/>
      <w:divBdr>
        <w:top w:val="none" w:sz="0" w:space="0" w:color="auto"/>
        <w:left w:val="none" w:sz="0" w:space="0" w:color="auto"/>
        <w:bottom w:val="none" w:sz="0" w:space="0" w:color="auto"/>
        <w:right w:val="none" w:sz="0" w:space="0" w:color="auto"/>
      </w:divBdr>
    </w:div>
    <w:div w:id="343021889">
      <w:bodyDiv w:val="1"/>
      <w:marLeft w:val="0"/>
      <w:marRight w:val="0"/>
      <w:marTop w:val="0"/>
      <w:marBottom w:val="0"/>
      <w:divBdr>
        <w:top w:val="none" w:sz="0" w:space="0" w:color="auto"/>
        <w:left w:val="none" w:sz="0" w:space="0" w:color="auto"/>
        <w:bottom w:val="none" w:sz="0" w:space="0" w:color="auto"/>
        <w:right w:val="none" w:sz="0" w:space="0" w:color="auto"/>
      </w:divBdr>
    </w:div>
    <w:div w:id="364253291">
      <w:bodyDiv w:val="1"/>
      <w:marLeft w:val="0"/>
      <w:marRight w:val="0"/>
      <w:marTop w:val="0"/>
      <w:marBottom w:val="0"/>
      <w:divBdr>
        <w:top w:val="none" w:sz="0" w:space="0" w:color="auto"/>
        <w:left w:val="none" w:sz="0" w:space="0" w:color="auto"/>
        <w:bottom w:val="none" w:sz="0" w:space="0" w:color="auto"/>
        <w:right w:val="none" w:sz="0" w:space="0" w:color="auto"/>
      </w:divBdr>
    </w:div>
    <w:div w:id="443424165">
      <w:bodyDiv w:val="1"/>
      <w:marLeft w:val="0"/>
      <w:marRight w:val="0"/>
      <w:marTop w:val="0"/>
      <w:marBottom w:val="0"/>
      <w:divBdr>
        <w:top w:val="none" w:sz="0" w:space="0" w:color="auto"/>
        <w:left w:val="none" w:sz="0" w:space="0" w:color="auto"/>
        <w:bottom w:val="none" w:sz="0" w:space="0" w:color="auto"/>
        <w:right w:val="none" w:sz="0" w:space="0" w:color="auto"/>
      </w:divBdr>
    </w:div>
    <w:div w:id="468868123">
      <w:bodyDiv w:val="1"/>
      <w:marLeft w:val="0"/>
      <w:marRight w:val="0"/>
      <w:marTop w:val="0"/>
      <w:marBottom w:val="0"/>
      <w:divBdr>
        <w:top w:val="none" w:sz="0" w:space="0" w:color="auto"/>
        <w:left w:val="none" w:sz="0" w:space="0" w:color="auto"/>
        <w:bottom w:val="none" w:sz="0" w:space="0" w:color="auto"/>
        <w:right w:val="none" w:sz="0" w:space="0" w:color="auto"/>
      </w:divBdr>
    </w:div>
    <w:div w:id="479076218">
      <w:bodyDiv w:val="1"/>
      <w:marLeft w:val="0"/>
      <w:marRight w:val="0"/>
      <w:marTop w:val="0"/>
      <w:marBottom w:val="0"/>
      <w:divBdr>
        <w:top w:val="none" w:sz="0" w:space="0" w:color="auto"/>
        <w:left w:val="none" w:sz="0" w:space="0" w:color="auto"/>
        <w:bottom w:val="none" w:sz="0" w:space="0" w:color="auto"/>
        <w:right w:val="none" w:sz="0" w:space="0" w:color="auto"/>
      </w:divBdr>
      <w:divsChild>
        <w:div w:id="866480587">
          <w:marLeft w:val="0"/>
          <w:marRight w:val="0"/>
          <w:marTop w:val="0"/>
          <w:marBottom w:val="0"/>
          <w:divBdr>
            <w:top w:val="none" w:sz="0" w:space="0" w:color="auto"/>
            <w:left w:val="none" w:sz="0" w:space="0" w:color="auto"/>
            <w:bottom w:val="none" w:sz="0" w:space="0" w:color="auto"/>
            <w:right w:val="none" w:sz="0" w:space="0" w:color="auto"/>
          </w:divBdr>
          <w:divsChild>
            <w:div w:id="1725057898">
              <w:marLeft w:val="0"/>
              <w:marRight w:val="0"/>
              <w:marTop w:val="125"/>
              <w:marBottom w:val="0"/>
              <w:divBdr>
                <w:top w:val="single" w:sz="8" w:space="6" w:color="666666"/>
                <w:left w:val="none" w:sz="0" w:space="0" w:color="auto"/>
                <w:bottom w:val="none" w:sz="0" w:space="0" w:color="auto"/>
                <w:right w:val="none" w:sz="0" w:space="0" w:color="auto"/>
              </w:divBdr>
            </w:div>
          </w:divsChild>
        </w:div>
      </w:divsChild>
    </w:div>
    <w:div w:id="523061490">
      <w:bodyDiv w:val="1"/>
      <w:marLeft w:val="0"/>
      <w:marRight w:val="0"/>
      <w:marTop w:val="0"/>
      <w:marBottom w:val="0"/>
      <w:divBdr>
        <w:top w:val="none" w:sz="0" w:space="0" w:color="auto"/>
        <w:left w:val="none" w:sz="0" w:space="0" w:color="auto"/>
        <w:bottom w:val="none" w:sz="0" w:space="0" w:color="auto"/>
        <w:right w:val="none" w:sz="0" w:space="0" w:color="auto"/>
      </w:divBdr>
    </w:div>
    <w:div w:id="571240497">
      <w:bodyDiv w:val="1"/>
      <w:marLeft w:val="0"/>
      <w:marRight w:val="0"/>
      <w:marTop w:val="0"/>
      <w:marBottom w:val="0"/>
      <w:divBdr>
        <w:top w:val="none" w:sz="0" w:space="0" w:color="auto"/>
        <w:left w:val="none" w:sz="0" w:space="0" w:color="auto"/>
        <w:bottom w:val="none" w:sz="0" w:space="0" w:color="auto"/>
        <w:right w:val="none" w:sz="0" w:space="0" w:color="auto"/>
      </w:divBdr>
    </w:div>
    <w:div w:id="577128761">
      <w:bodyDiv w:val="1"/>
      <w:marLeft w:val="0"/>
      <w:marRight w:val="0"/>
      <w:marTop w:val="0"/>
      <w:marBottom w:val="0"/>
      <w:divBdr>
        <w:top w:val="none" w:sz="0" w:space="0" w:color="auto"/>
        <w:left w:val="none" w:sz="0" w:space="0" w:color="auto"/>
        <w:bottom w:val="none" w:sz="0" w:space="0" w:color="auto"/>
        <w:right w:val="none" w:sz="0" w:space="0" w:color="auto"/>
      </w:divBdr>
    </w:div>
    <w:div w:id="603344179">
      <w:bodyDiv w:val="1"/>
      <w:marLeft w:val="0"/>
      <w:marRight w:val="0"/>
      <w:marTop w:val="0"/>
      <w:marBottom w:val="0"/>
      <w:divBdr>
        <w:top w:val="none" w:sz="0" w:space="0" w:color="auto"/>
        <w:left w:val="none" w:sz="0" w:space="0" w:color="auto"/>
        <w:bottom w:val="none" w:sz="0" w:space="0" w:color="auto"/>
        <w:right w:val="none" w:sz="0" w:space="0" w:color="auto"/>
      </w:divBdr>
    </w:div>
    <w:div w:id="741760865">
      <w:bodyDiv w:val="1"/>
      <w:marLeft w:val="0"/>
      <w:marRight w:val="0"/>
      <w:marTop w:val="0"/>
      <w:marBottom w:val="0"/>
      <w:divBdr>
        <w:top w:val="none" w:sz="0" w:space="0" w:color="auto"/>
        <w:left w:val="none" w:sz="0" w:space="0" w:color="auto"/>
        <w:bottom w:val="none" w:sz="0" w:space="0" w:color="auto"/>
        <w:right w:val="none" w:sz="0" w:space="0" w:color="auto"/>
      </w:divBdr>
    </w:div>
    <w:div w:id="800999263">
      <w:bodyDiv w:val="1"/>
      <w:marLeft w:val="0"/>
      <w:marRight w:val="0"/>
      <w:marTop w:val="0"/>
      <w:marBottom w:val="0"/>
      <w:divBdr>
        <w:top w:val="none" w:sz="0" w:space="0" w:color="auto"/>
        <w:left w:val="none" w:sz="0" w:space="0" w:color="auto"/>
        <w:bottom w:val="none" w:sz="0" w:space="0" w:color="auto"/>
        <w:right w:val="none" w:sz="0" w:space="0" w:color="auto"/>
      </w:divBdr>
    </w:div>
    <w:div w:id="802045184">
      <w:bodyDiv w:val="1"/>
      <w:marLeft w:val="0"/>
      <w:marRight w:val="0"/>
      <w:marTop w:val="0"/>
      <w:marBottom w:val="0"/>
      <w:divBdr>
        <w:top w:val="none" w:sz="0" w:space="0" w:color="auto"/>
        <w:left w:val="none" w:sz="0" w:space="0" w:color="auto"/>
        <w:bottom w:val="none" w:sz="0" w:space="0" w:color="auto"/>
        <w:right w:val="none" w:sz="0" w:space="0" w:color="auto"/>
      </w:divBdr>
    </w:div>
    <w:div w:id="806044680">
      <w:bodyDiv w:val="1"/>
      <w:marLeft w:val="0"/>
      <w:marRight w:val="0"/>
      <w:marTop w:val="0"/>
      <w:marBottom w:val="0"/>
      <w:divBdr>
        <w:top w:val="none" w:sz="0" w:space="0" w:color="auto"/>
        <w:left w:val="none" w:sz="0" w:space="0" w:color="auto"/>
        <w:bottom w:val="none" w:sz="0" w:space="0" w:color="auto"/>
        <w:right w:val="none" w:sz="0" w:space="0" w:color="auto"/>
      </w:divBdr>
    </w:div>
    <w:div w:id="809785599">
      <w:bodyDiv w:val="1"/>
      <w:marLeft w:val="0"/>
      <w:marRight w:val="0"/>
      <w:marTop w:val="0"/>
      <w:marBottom w:val="0"/>
      <w:divBdr>
        <w:top w:val="none" w:sz="0" w:space="0" w:color="auto"/>
        <w:left w:val="none" w:sz="0" w:space="0" w:color="auto"/>
        <w:bottom w:val="none" w:sz="0" w:space="0" w:color="auto"/>
        <w:right w:val="none" w:sz="0" w:space="0" w:color="auto"/>
      </w:divBdr>
    </w:div>
    <w:div w:id="884754839">
      <w:bodyDiv w:val="1"/>
      <w:marLeft w:val="0"/>
      <w:marRight w:val="0"/>
      <w:marTop w:val="0"/>
      <w:marBottom w:val="0"/>
      <w:divBdr>
        <w:top w:val="none" w:sz="0" w:space="0" w:color="auto"/>
        <w:left w:val="none" w:sz="0" w:space="0" w:color="auto"/>
        <w:bottom w:val="none" w:sz="0" w:space="0" w:color="auto"/>
        <w:right w:val="none" w:sz="0" w:space="0" w:color="auto"/>
      </w:divBdr>
    </w:div>
    <w:div w:id="890195221">
      <w:bodyDiv w:val="1"/>
      <w:marLeft w:val="0"/>
      <w:marRight w:val="0"/>
      <w:marTop w:val="0"/>
      <w:marBottom w:val="0"/>
      <w:divBdr>
        <w:top w:val="none" w:sz="0" w:space="0" w:color="auto"/>
        <w:left w:val="none" w:sz="0" w:space="0" w:color="auto"/>
        <w:bottom w:val="none" w:sz="0" w:space="0" w:color="auto"/>
        <w:right w:val="none" w:sz="0" w:space="0" w:color="auto"/>
      </w:divBdr>
    </w:div>
    <w:div w:id="962074558">
      <w:bodyDiv w:val="1"/>
      <w:marLeft w:val="0"/>
      <w:marRight w:val="0"/>
      <w:marTop w:val="0"/>
      <w:marBottom w:val="0"/>
      <w:divBdr>
        <w:top w:val="none" w:sz="0" w:space="0" w:color="auto"/>
        <w:left w:val="none" w:sz="0" w:space="0" w:color="auto"/>
        <w:bottom w:val="none" w:sz="0" w:space="0" w:color="auto"/>
        <w:right w:val="none" w:sz="0" w:space="0" w:color="auto"/>
      </w:divBdr>
    </w:div>
    <w:div w:id="1193618531">
      <w:bodyDiv w:val="1"/>
      <w:marLeft w:val="0"/>
      <w:marRight w:val="0"/>
      <w:marTop w:val="0"/>
      <w:marBottom w:val="0"/>
      <w:divBdr>
        <w:top w:val="none" w:sz="0" w:space="0" w:color="auto"/>
        <w:left w:val="none" w:sz="0" w:space="0" w:color="auto"/>
        <w:bottom w:val="none" w:sz="0" w:space="0" w:color="auto"/>
        <w:right w:val="none" w:sz="0" w:space="0" w:color="auto"/>
      </w:divBdr>
    </w:div>
    <w:div w:id="1249660238">
      <w:bodyDiv w:val="1"/>
      <w:marLeft w:val="0"/>
      <w:marRight w:val="0"/>
      <w:marTop w:val="0"/>
      <w:marBottom w:val="0"/>
      <w:divBdr>
        <w:top w:val="none" w:sz="0" w:space="0" w:color="auto"/>
        <w:left w:val="none" w:sz="0" w:space="0" w:color="auto"/>
        <w:bottom w:val="none" w:sz="0" w:space="0" w:color="auto"/>
        <w:right w:val="none" w:sz="0" w:space="0" w:color="auto"/>
      </w:divBdr>
    </w:div>
    <w:div w:id="1308437928">
      <w:bodyDiv w:val="1"/>
      <w:marLeft w:val="0"/>
      <w:marRight w:val="0"/>
      <w:marTop w:val="0"/>
      <w:marBottom w:val="0"/>
      <w:divBdr>
        <w:top w:val="none" w:sz="0" w:space="0" w:color="auto"/>
        <w:left w:val="none" w:sz="0" w:space="0" w:color="auto"/>
        <w:bottom w:val="none" w:sz="0" w:space="0" w:color="auto"/>
        <w:right w:val="none" w:sz="0" w:space="0" w:color="auto"/>
      </w:divBdr>
    </w:div>
    <w:div w:id="1345211228">
      <w:bodyDiv w:val="1"/>
      <w:marLeft w:val="0"/>
      <w:marRight w:val="0"/>
      <w:marTop w:val="0"/>
      <w:marBottom w:val="0"/>
      <w:divBdr>
        <w:top w:val="none" w:sz="0" w:space="0" w:color="auto"/>
        <w:left w:val="none" w:sz="0" w:space="0" w:color="auto"/>
        <w:bottom w:val="none" w:sz="0" w:space="0" w:color="auto"/>
        <w:right w:val="none" w:sz="0" w:space="0" w:color="auto"/>
      </w:divBdr>
    </w:div>
    <w:div w:id="1382097448">
      <w:bodyDiv w:val="1"/>
      <w:marLeft w:val="0"/>
      <w:marRight w:val="0"/>
      <w:marTop w:val="0"/>
      <w:marBottom w:val="0"/>
      <w:divBdr>
        <w:top w:val="none" w:sz="0" w:space="0" w:color="auto"/>
        <w:left w:val="none" w:sz="0" w:space="0" w:color="auto"/>
        <w:bottom w:val="none" w:sz="0" w:space="0" w:color="auto"/>
        <w:right w:val="none" w:sz="0" w:space="0" w:color="auto"/>
      </w:divBdr>
    </w:div>
    <w:div w:id="1390759981">
      <w:bodyDiv w:val="1"/>
      <w:marLeft w:val="0"/>
      <w:marRight w:val="0"/>
      <w:marTop w:val="0"/>
      <w:marBottom w:val="0"/>
      <w:divBdr>
        <w:top w:val="none" w:sz="0" w:space="0" w:color="auto"/>
        <w:left w:val="none" w:sz="0" w:space="0" w:color="auto"/>
        <w:bottom w:val="none" w:sz="0" w:space="0" w:color="auto"/>
        <w:right w:val="none" w:sz="0" w:space="0" w:color="auto"/>
      </w:divBdr>
    </w:div>
    <w:div w:id="1535968415">
      <w:bodyDiv w:val="1"/>
      <w:marLeft w:val="0"/>
      <w:marRight w:val="0"/>
      <w:marTop w:val="0"/>
      <w:marBottom w:val="0"/>
      <w:divBdr>
        <w:top w:val="none" w:sz="0" w:space="0" w:color="auto"/>
        <w:left w:val="none" w:sz="0" w:space="0" w:color="auto"/>
        <w:bottom w:val="none" w:sz="0" w:space="0" w:color="auto"/>
        <w:right w:val="none" w:sz="0" w:space="0" w:color="auto"/>
      </w:divBdr>
    </w:div>
    <w:div w:id="1615743633">
      <w:bodyDiv w:val="1"/>
      <w:marLeft w:val="0"/>
      <w:marRight w:val="0"/>
      <w:marTop w:val="0"/>
      <w:marBottom w:val="0"/>
      <w:divBdr>
        <w:top w:val="none" w:sz="0" w:space="0" w:color="auto"/>
        <w:left w:val="none" w:sz="0" w:space="0" w:color="auto"/>
        <w:bottom w:val="none" w:sz="0" w:space="0" w:color="auto"/>
        <w:right w:val="none" w:sz="0" w:space="0" w:color="auto"/>
      </w:divBdr>
    </w:div>
    <w:div w:id="1655571971">
      <w:bodyDiv w:val="1"/>
      <w:marLeft w:val="0"/>
      <w:marRight w:val="0"/>
      <w:marTop w:val="0"/>
      <w:marBottom w:val="0"/>
      <w:divBdr>
        <w:top w:val="none" w:sz="0" w:space="0" w:color="auto"/>
        <w:left w:val="none" w:sz="0" w:space="0" w:color="auto"/>
        <w:bottom w:val="none" w:sz="0" w:space="0" w:color="auto"/>
        <w:right w:val="none" w:sz="0" w:space="0" w:color="auto"/>
      </w:divBdr>
    </w:div>
    <w:div w:id="1715544069">
      <w:bodyDiv w:val="1"/>
      <w:marLeft w:val="0"/>
      <w:marRight w:val="0"/>
      <w:marTop w:val="0"/>
      <w:marBottom w:val="0"/>
      <w:divBdr>
        <w:top w:val="none" w:sz="0" w:space="0" w:color="auto"/>
        <w:left w:val="none" w:sz="0" w:space="0" w:color="auto"/>
        <w:bottom w:val="none" w:sz="0" w:space="0" w:color="auto"/>
        <w:right w:val="none" w:sz="0" w:space="0" w:color="auto"/>
      </w:divBdr>
    </w:div>
    <w:div w:id="1731881652">
      <w:bodyDiv w:val="1"/>
      <w:marLeft w:val="0"/>
      <w:marRight w:val="0"/>
      <w:marTop w:val="0"/>
      <w:marBottom w:val="0"/>
      <w:divBdr>
        <w:top w:val="none" w:sz="0" w:space="0" w:color="auto"/>
        <w:left w:val="none" w:sz="0" w:space="0" w:color="auto"/>
        <w:bottom w:val="none" w:sz="0" w:space="0" w:color="auto"/>
        <w:right w:val="none" w:sz="0" w:space="0" w:color="auto"/>
      </w:divBdr>
    </w:div>
    <w:div w:id="1732581147">
      <w:bodyDiv w:val="1"/>
      <w:marLeft w:val="0"/>
      <w:marRight w:val="0"/>
      <w:marTop w:val="0"/>
      <w:marBottom w:val="0"/>
      <w:divBdr>
        <w:top w:val="none" w:sz="0" w:space="0" w:color="auto"/>
        <w:left w:val="none" w:sz="0" w:space="0" w:color="auto"/>
        <w:bottom w:val="none" w:sz="0" w:space="0" w:color="auto"/>
        <w:right w:val="none" w:sz="0" w:space="0" w:color="auto"/>
      </w:divBdr>
    </w:div>
    <w:div w:id="1771194752">
      <w:bodyDiv w:val="1"/>
      <w:marLeft w:val="0"/>
      <w:marRight w:val="0"/>
      <w:marTop w:val="0"/>
      <w:marBottom w:val="0"/>
      <w:divBdr>
        <w:top w:val="none" w:sz="0" w:space="0" w:color="auto"/>
        <w:left w:val="none" w:sz="0" w:space="0" w:color="auto"/>
        <w:bottom w:val="none" w:sz="0" w:space="0" w:color="auto"/>
        <w:right w:val="none" w:sz="0" w:space="0" w:color="auto"/>
      </w:divBdr>
    </w:div>
    <w:div w:id="1790667053">
      <w:bodyDiv w:val="1"/>
      <w:marLeft w:val="0"/>
      <w:marRight w:val="0"/>
      <w:marTop w:val="0"/>
      <w:marBottom w:val="0"/>
      <w:divBdr>
        <w:top w:val="none" w:sz="0" w:space="0" w:color="auto"/>
        <w:left w:val="none" w:sz="0" w:space="0" w:color="auto"/>
        <w:bottom w:val="none" w:sz="0" w:space="0" w:color="auto"/>
        <w:right w:val="none" w:sz="0" w:space="0" w:color="auto"/>
      </w:divBdr>
    </w:div>
    <w:div w:id="1793356520">
      <w:bodyDiv w:val="1"/>
      <w:marLeft w:val="0"/>
      <w:marRight w:val="0"/>
      <w:marTop w:val="0"/>
      <w:marBottom w:val="0"/>
      <w:divBdr>
        <w:top w:val="none" w:sz="0" w:space="0" w:color="auto"/>
        <w:left w:val="none" w:sz="0" w:space="0" w:color="auto"/>
        <w:bottom w:val="none" w:sz="0" w:space="0" w:color="auto"/>
        <w:right w:val="none" w:sz="0" w:space="0" w:color="auto"/>
      </w:divBdr>
    </w:div>
    <w:div w:id="1878622013">
      <w:bodyDiv w:val="1"/>
      <w:marLeft w:val="0"/>
      <w:marRight w:val="0"/>
      <w:marTop w:val="0"/>
      <w:marBottom w:val="0"/>
      <w:divBdr>
        <w:top w:val="none" w:sz="0" w:space="0" w:color="auto"/>
        <w:left w:val="none" w:sz="0" w:space="0" w:color="auto"/>
        <w:bottom w:val="none" w:sz="0" w:space="0" w:color="auto"/>
        <w:right w:val="none" w:sz="0" w:space="0" w:color="auto"/>
      </w:divBdr>
    </w:div>
    <w:div w:id="1933469558">
      <w:bodyDiv w:val="1"/>
      <w:marLeft w:val="0"/>
      <w:marRight w:val="0"/>
      <w:marTop w:val="0"/>
      <w:marBottom w:val="0"/>
      <w:divBdr>
        <w:top w:val="none" w:sz="0" w:space="0" w:color="auto"/>
        <w:left w:val="none" w:sz="0" w:space="0" w:color="auto"/>
        <w:bottom w:val="none" w:sz="0" w:space="0" w:color="auto"/>
        <w:right w:val="none" w:sz="0" w:space="0" w:color="auto"/>
      </w:divBdr>
    </w:div>
    <w:div w:id="1948543027">
      <w:bodyDiv w:val="1"/>
      <w:marLeft w:val="0"/>
      <w:marRight w:val="0"/>
      <w:marTop w:val="0"/>
      <w:marBottom w:val="0"/>
      <w:divBdr>
        <w:top w:val="none" w:sz="0" w:space="0" w:color="auto"/>
        <w:left w:val="none" w:sz="0" w:space="0" w:color="auto"/>
        <w:bottom w:val="none" w:sz="0" w:space="0" w:color="auto"/>
        <w:right w:val="none" w:sz="0" w:space="0" w:color="auto"/>
      </w:divBdr>
    </w:div>
    <w:div w:id="1971128916">
      <w:bodyDiv w:val="1"/>
      <w:marLeft w:val="0"/>
      <w:marRight w:val="0"/>
      <w:marTop w:val="0"/>
      <w:marBottom w:val="0"/>
      <w:divBdr>
        <w:top w:val="none" w:sz="0" w:space="0" w:color="auto"/>
        <w:left w:val="none" w:sz="0" w:space="0" w:color="auto"/>
        <w:bottom w:val="none" w:sz="0" w:space="0" w:color="auto"/>
        <w:right w:val="none" w:sz="0" w:space="0" w:color="auto"/>
      </w:divBdr>
    </w:div>
    <w:div w:id="2027442359">
      <w:bodyDiv w:val="1"/>
      <w:marLeft w:val="0"/>
      <w:marRight w:val="0"/>
      <w:marTop w:val="0"/>
      <w:marBottom w:val="0"/>
      <w:divBdr>
        <w:top w:val="none" w:sz="0" w:space="0" w:color="auto"/>
        <w:left w:val="none" w:sz="0" w:space="0" w:color="auto"/>
        <w:bottom w:val="none" w:sz="0" w:space="0" w:color="auto"/>
        <w:right w:val="none" w:sz="0" w:space="0" w:color="auto"/>
      </w:divBdr>
    </w:div>
    <w:div w:id="2033263050">
      <w:bodyDiv w:val="1"/>
      <w:marLeft w:val="0"/>
      <w:marRight w:val="0"/>
      <w:marTop w:val="0"/>
      <w:marBottom w:val="0"/>
      <w:divBdr>
        <w:top w:val="none" w:sz="0" w:space="0" w:color="auto"/>
        <w:left w:val="none" w:sz="0" w:space="0" w:color="auto"/>
        <w:bottom w:val="none" w:sz="0" w:space="0" w:color="auto"/>
        <w:right w:val="none" w:sz="0" w:space="0" w:color="auto"/>
      </w:divBdr>
    </w:div>
    <w:div w:id="20756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eia.gov/petroleum/supply/weekly/" TargetMode="External"/><Relationship Id="rId4" Type="http://schemas.openxmlformats.org/officeDocument/2006/relationships/styles" Target="styles.xml"/><Relationship Id="rId9" Type="http://schemas.openxmlformats.org/officeDocument/2006/relationships/hyperlink" Target="http://ir.eia.gov/ngs/notes.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special\alert\east_coast\archive\word\northeastern_winter_energy_alert_Jan_5_2018.dotx" TargetMode="External"/></Relationships>
</file>

<file path=word/theme/theme1.xml><?xml version="1.0" encoding="utf-8"?>
<a:theme xmlns:a="http://schemas.openxmlformats.org/drawingml/2006/main" name="eia">
  <a:themeElements>
    <a:clrScheme name="EIA">
      <a:dk1>
        <a:srgbClr val="000000"/>
      </a:dk1>
      <a:lt1>
        <a:srgbClr val="FFFFFF"/>
      </a:lt1>
      <a:dk2>
        <a:srgbClr val="003953"/>
      </a:dk2>
      <a:lt2>
        <a:srgbClr val="333333"/>
      </a:lt2>
      <a:accent1>
        <a:srgbClr val="0096D7"/>
      </a:accent1>
      <a:accent2>
        <a:srgbClr val="BD732A"/>
      </a:accent2>
      <a:accent3>
        <a:srgbClr val="5D9732"/>
      </a:accent3>
      <a:accent4>
        <a:srgbClr val="FFC702"/>
      </a:accent4>
      <a:accent5>
        <a:srgbClr val="A33340"/>
      </a:accent5>
      <a:accent6>
        <a:srgbClr val="675005"/>
      </a:accent6>
      <a:hlink>
        <a:srgbClr val="0096D7"/>
      </a:hlink>
      <a:folHlink>
        <a:srgbClr val="5D9732"/>
      </a:folHlink>
    </a:clrScheme>
    <a:fontScheme name="EIA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Arial" pitchFamily="-112" charset="0"/>
            <a:ea typeface="ＭＳ Ｐゴシック" pitchFamily="-112" charset="-128"/>
            <a:cs typeface="ＭＳ Ｐゴシック" pitchFamily="-112"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chemeClr val="tx1"/>
            </a:solidFill>
            <a:effectLst/>
            <a:latin typeface="Arial" pitchFamily="-112" charset="0"/>
            <a:ea typeface="ＭＳ Ｐゴシック" pitchFamily="-112" charset="-128"/>
            <a:cs typeface="ＭＳ Ｐゴシック" pitchFamily="-112" charset="-128"/>
          </a:defRPr>
        </a:defPPr>
      </a:lstStyle>
    </a:lnDef>
    <a:txDef>
      <a:spPr bwMode="auto">
        <a:noFill/>
        <a:ln w="9525">
          <a:noFill/>
          <a:miter lim="800000"/>
          <a:headEnd/>
          <a:tailEnd/>
        </a:ln>
      </a:spPr>
      <a:bodyPr lIns="0" tIns="0" rIns="0">
        <a:prstTxWarp prst="textNoShape">
          <a:avLst/>
        </a:prstTxWarp>
      </a:bodyPr>
      <a:lstStyle>
        <a:defPPr eaLnBrk="0" hangingPunct="0">
          <a:defRPr sz="1600" i="1" dirty="0" smtClean="0">
            <a:solidFill>
              <a:srgbClr val="333333"/>
            </a:solidFill>
            <a:latin typeface="Times New Roman" charset="0"/>
            <a:ea typeface="Times New Roman" charset="0"/>
            <a:cs typeface="Times New Roman" charset="0"/>
          </a:defRPr>
        </a:defPPr>
      </a:lstStyle>
    </a:txDef>
  </a:objectDefaults>
  <a:extraClrSchemeLst>
    <a:extraClrScheme>
      <a:clrScheme name="Blank Presentatio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Blank Presentatio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Blank Presentatio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Blank Presentatio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Blank Presentatio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Blank Presentatio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Blank Presentation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Blank Presentatio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Blank Presentatio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Blank Presentatio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Blank Presentatio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Blank Presentatio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78A4B-C9FB-4E76-B449-FB8057D6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northeastern_winter_energy_alert_Jan_5_2018</Template>
  <TotalTime>7</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Improving the Quality and Scope of EIA Data</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Quality and Scope of EIA Data</dc:title>
  <dc:subject>Improving the Quality and Scope of EIA Data</dc:subject>
  <dc:creator>Lau, Vivien</dc:creator>
  <cp:keywords/>
  <dc:description/>
  <cp:lastModifiedBy>Lau, Vivian</cp:lastModifiedBy>
  <cp:revision>2</cp:revision>
  <cp:lastPrinted>2011-12-12T20:42:00Z</cp:lastPrinted>
  <dcterms:created xsi:type="dcterms:W3CDTF">2018-01-22T19:05:00Z</dcterms:created>
  <dcterms:modified xsi:type="dcterms:W3CDTF">2018-01-22T19:12:00Z</dcterms:modified>
</cp:coreProperties>
</file>