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37707067"/>
        <w:docPartObj>
          <w:docPartGallery w:val="Cover Pages"/>
        </w:docPartObj>
      </w:sdtPr>
      <w:sdtEndPr>
        <w:rPr>
          <w:noProof w:val="0"/>
        </w:rPr>
      </w:sdtEndPr>
      <w:sdtContent>
        <w:p w:rsidR="00D001E4" w:rsidRDefault="004C7A2E">
          <w:pPr>
            <w:rPr>
              <w:noProof/>
            </w:rPr>
          </w:pPr>
          <w:r>
            <w:rPr>
              <w:noProof/>
            </w:rPr>
            <w:pict>
              <v:rect id="_x0000_s1051" style="position:absolute;margin-left:-35.5pt;margin-top:-22.5pt;width:540pt;height:3.6pt;z-index:-251639808;mso-position-horizontal-relative:text;mso-position-vertical-relative:text" wrapcoords="-35 0 -35 18514 21600 18514 21600 0 -35 0" fillcolor="#0c95d3" stroked="f" strokecolor="#f2f2f2 [3041]" strokeweight="3pt">
                <v:shadow type="perspective" color="#50191f [1608]" opacity=".5" offset="1pt" offset2="-1pt"/>
                <w10:wrap type="through"/>
              </v:rect>
            </w:pict>
          </w:r>
          <w:r w:rsidR="00C00590">
            <w:rPr>
              <w:noProof/>
            </w:rPr>
            <w:drawing>
              <wp:anchor distT="0" distB="0" distL="114300" distR="114300" simplePos="0" relativeHeight="251675647" behindDoc="0" locked="0" layoutInCell="1" allowOverlap="1">
                <wp:simplePos x="0" y="0"/>
                <wp:positionH relativeFrom="column">
                  <wp:posOffset>6350</wp:posOffset>
                </wp:positionH>
                <wp:positionV relativeFrom="paragraph">
                  <wp:posOffset>50800</wp:posOffset>
                </wp:positionV>
                <wp:extent cx="3175000" cy="609600"/>
                <wp:effectExtent l="19050" t="0" r="6350" b="0"/>
                <wp:wrapThrough wrapText="bothSides">
                  <wp:wrapPolygon edited="0">
                    <wp:start x="-130" y="0"/>
                    <wp:lineTo x="-130" y="20925"/>
                    <wp:lineTo x="21643" y="20925"/>
                    <wp:lineTo x="21643" y="0"/>
                    <wp:lineTo x="-130" y="0"/>
                  </wp:wrapPolygon>
                </wp:wrapThrough>
                <wp:docPr id="5" name="Picture 4" descr="eia_logo_tag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a_logo_tagline.png"/>
                        <pic:cNvPicPr/>
                      </pic:nvPicPr>
                      <pic:blipFill>
                        <a:blip r:embed="rId9" cstate="print"/>
                        <a:stretch>
                          <a:fillRect/>
                        </a:stretch>
                      </pic:blipFill>
                      <pic:spPr>
                        <a:xfrm>
                          <a:off x="0" y="0"/>
                          <a:ext cx="3175000" cy="609600"/>
                        </a:xfrm>
                        <a:prstGeom prst="rect">
                          <a:avLst/>
                        </a:prstGeom>
                      </pic:spPr>
                    </pic:pic>
                  </a:graphicData>
                </a:graphic>
              </wp:anchor>
            </w:drawing>
          </w:r>
          <w:r>
            <w:rPr>
              <w:noProof/>
            </w:rPr>
            <w:pict>
              <v:shapetype id="_x0000_t32" coordsize="21600,21600" o:spt="32" o:oned="t" path="m,l21600,21600e" filled="f">
                <v:path arrowok="t" fillok="f" o:connecttype="none"/>
                <o:lock v:ext="edit" shapetype="t"/>
              </v:shapetype>
              <v:shape id="_x0000_s1052" type="#_x0000_t32" style="position:absolute;margin-left:-35.5pt;margin-top:66pt;width:540pt;height:0;z-index:251678720;mso-position-horizontal-relative:margin;mso-position-vertical-relative:margin" o:connectortype="straight" strokecolor="#7e8e9a">
                <w10:wrap type="square" anchorx="margin" anchory="margin"/>
              </v:shape>
            </w:pict>
          </w:r>
        </w:p>
        <w:p w:rsidR="00041909" w:rsidRDefault="001F3A8F" w:rsidP="00D928FD">
          <w:pPr>
            <w:ind w:left="1080"/>
          </w:pPr>
          <w:r>
            <w:rPr>
              <w:noProof/>
            </w:rPr>
            <w:softHyphen/>
          </w:r>
          <w:r>
            <w:rPr>
              <w:noProof/>
            </w:rPr>
            <w:softHyphen/>
          </w:r>
          <w:r>
            <w:rPr>
              <w:noProof/>
            </w:rPr>
            <w:softHyphen/>
          </w:r>
        </w:p>
      </w:sdtContent>
    </w:sdt>
    <w:p w:rsidR="00D928FD" w:rsidRDefault="00D928FD" w:rsidP="00D928FD"/>
    <w:p w:rsidR="00D928FD" w:rsidRDefault="00D928FD" w:rsidP="00D928FD"/>
    <w:p w:rsidR="00D928FD" w:rsidRDefault="00D928FD" w:rsidP="00D928FD"/>
    <w:p w:rsidR="00D928FD" w:rsidRDefault="004C7A2E" w:rsidP="00D928FD">
      <w:r>
        <w:rPr>
          <w:noProof/>
          <w:lang w:eastAsia="zh-TW"/>
        </w:rPr>
        <w:pict>
          <v:shapetype id="_x0000_t202" coordsize="21600,21600" o:spt="202" path="m,l,21600r21600,l21600,xe">
            <v:stroke joinstyle="miter"/>
            <v:path gradientshapeok="t" o:connecttype="rect"/>
          </v:shapetype>
          <v:shape id="_x0000_s1053" type="#_x0000_t202" style="position:absolute;margin-left:-6pt;margin-top:22.45pt;width:410.25pt;height:177.4pt;z-index:251680768;mso-position-horizontal-relative:margin;mso-width-relative:margin;mso-height-relative:margin;v-text-anchor:bottom" filled="f" stroked="f">
            <v:textbox style="mso-next-textbox:#_x0000_s1053" inset="0">
              <w:txbxContent>
                <w:sdt>
                  <w:sdtPr>
                    <w:rPr>
                      <w:rFonts w:ascii="Times New Roman" w:hAnsi="Times New Roman" w:cs="Times New Roman"/>
                      <w:color w:val="139CD8"/>
                      <w:sz w:val="56"/>
                      <w:szCs w:val="52"/>
                    </w:rPr>
                    <w:alias w:val="Title"/>
                    <w:id w:val="486525359"/>
                    <w:dataBinding w:prefixMappings="xmlns:ns0='http://purl.org/dc/elements/1.1/' xmlns:ns1='http://schemas.openxmlformats.org/package/2006/metadata/core-properties' " w:xpath="/ns1:coreProperties[1]/ns0:title[1]" w:storeItemID="{6C3C8BC8-F283-45AE-878A-BAB7291924A1}"/>
                    <w:text/>
                  </w:sdtPr>
                  <w:sdtContent>
                    <w:p w:rsidR="00C9225F" w:rsidRPr="00AA3D91" w:rsidRDefault="00C9225F" w:rsidP="0044416E">
                      <w:pPr>
                        <w:spacing w:line="240" w:lineRule="auto"/>
                        <w:ind w:left="90"/>
                        <w:rPr>
                          <w:sz w:val="52"/>
                          <w:szCs w:val="52"/>
                        </w:rPr>
                      </w:pPr>
                      <w:r>
                        <w:rPr>
                          <w:rFonts w:ascii="Times New Roman" w:hAnsi="Times New Roman" w:cs="Times New Roman"/>
                          <w:color w:val="139CD8"/>
                          <w:sz w:val="56"/>
                          <w:szCs w:val="52"/>
                        </w:rPr>
                        <w:t>New York/New Jersey Intra Harbor Petroleum Supplies Following Hurricane Sandy:</w:t>
                      </w:r>
                      <w:r w:rsidRPr="0044416E">
                        <w:rPr>
                          <w:rFonts w:ascii="Times New Roman" w:hAnsi="Times New Roman" w:cs="Times New Roman"/>
                          <w:color w:val="139CD8"/>
                          <w:sz w:val="56"/>
                          <w:szCs w:val="52"/>
                        </w:rPr>
                        <w:t xml:space="preserve"> S</w:t>
                      </w:r>
                      <w:r>
                        <w:rPr>
                          <w:rFonts w:ascii="Times New Roman" w:hAnsi="Times New Roman" w:cs="Times New Roman"/>
                          <w:color w:val="139CD8"/>
                          <w:sz w:val="56"/>
                          <w:szCs w:val="52"/>
                        </w:rPr>
                        <w:t xml:space="preserve">ummary of Impacts </w:t>
                      </w:r>
                      <w:proofErr w:type="gramStart"/>
                      <w:r>
                        <w:rPr>
                          <w:rFonts w:ascii="Times New Roman" w:hAnsi="Times New Roman" w:cs="Times New Roman"/>
                          <w:color w:val="139CD8"/>
                          <w:sz w:val="56"/>
                          <w:szCs w:val="52"/>
                        </w:rPr>
                        <w:t>Through</w:t>
                      </w:r>
                      <w:proofErr w:type="gramEnd"/>
                      <w:r>
                        <w:rPr>
                          <w:rFonts w:ascii="Times New Roman" w:hAnsi="Times New Roman" w:cs="Times New Roman"/>
                          <w:color w:val="139CD8"/>
                          <w:sz w:val="56"/>
                          <w:szCs w:val="52"/>
                        </w:rPr>
                        <w:t xml:space="preserve"> November 13, 2012</w:t>
                      </w:r>
                    </w:p>
                  </w:sdtContent>
                </w:sdt>
              </w:txbxContent>
            </v:textbox>
            <w10:wrap anchorx="margin"/>
          </v:shape>
        </w:pict>
      </w:r>
    </w:p>
    <w:p w:rsidR="00D928FD" w:rsidRDefault="00D928FD" w:rsidP="00D928FD"/>
    <w:p w:rsidR="001F3A8F" w:rsidRDefault="002556F3">
      <w:pPr>
        <w:spacing w:line="240" w:lineRule="auto"/>
      </w:pPr>
      <w:r>
        <w:rPr>
          <w:noProof/>
        </w:rPr>
        <w:drawing>
          <wp:anchor distT="0" distB="0" distL="114300" distR="114300" simplePos="0" relativeHeight="251688960" behindDoc="0" locked="0" layoutInCell="1" allowOverlap="1">
            <wp:simplePos x="0" y="0"/>
            <wp:positionH relativeFrom="page">
              <wp:posOffset>717550</wp:posOffset>
            </wp:positionH>
            <wp:positionV relativeFrom="page">
              <wp:posOffset>7950200</wp:posOffset>
            </wp:positionV>
            <wp:extent cx="6343650" cy="647700"/>
            <wp:effectExtent l="19050" t="0" r="0" b="0"/>
            <wp:wrapThrough wrapText="bothSides">
              <wp:wrapPolygon edited="0">
                <wp:start x="-65" y="0"/>
                <wp:lineTo x="-65" y="20965"/>
                <wp:lineTo x="21600" y="20965"/>
                <wp:lineTo x="21600" y="0"/>
                <wp:lineTo x="-65" y="0"/>
              </wp:wrapPolygon>
            </wp:wrapThrough>
            <wp:docPr id="7" name="Picture 5" descr="report_title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title_bottom.png"/>
                    <pic:cNvPicPr/>
                  </pic:nvPicPr>
                  <pic:blipFill>
                    <a:blip r:embed="rId10" cstate="print"/>
                    <a:srcRect/>
                    <a:stretch>
                      <a:fillRect/>
                    </a:stretch>
                  </pic:blipFill>
                  <pic:spPr>
                    <a:xfrm>
                      <a:off x="0" y="0"/>
                      <a:ext cx="6343650" cy="647700"/>
                    </a:xfrm>
                    <a:prstGeom prst="rect">
                      <a:avLst/>
                    </a:prstGeom>
                  </pic:spPr>
                </pic:pic>
              </a:graphicData>
            </a:graphic>
          </wp:anchor>
        </w:drawing>
      </w:r>
      <w:r w:rsidR="004C7A2E">
        <w:rPr>
          <w:noProof/>
        </w:rPr>
        <w:pict>
          <v:rect id="_x0000_s1058" style="position:absolute;margin-left:-35.5pt;margin-top:418.4pt;width:540pt;height:4.95pt;z-index:-251626496;mso-position-horizontal-relative:text;mso-position-vertical-relative:text" wrapcoords="-35 0 -35 18514 21600 18514 21600 0 -35 0" fillcolor="#0c95d3" stroked="f" strokecolor="#f2f2f2 [3041]" strokeweight="3pt">
            <v:shadow type="perspective" color="#50191f [1608]" opacity=".5" offset="1pt" offset2="-1pt"/>
            <w10:wrap type="through"/>
          </v:rect>
        </w:pict>
      </w:r>
      <w:r w:rsidR="004C7A2E" w:rsidRPr="004C7A2E">
        <w:rPr>
          <w:noProof/>
          <w:color w:val="A6A6A6" w:themeColor="background1" w:themeShade="A6"/>
        </w:rPr>
        <w:pict>
          <v:shape id="_x0000_s1059" type="#_x0000_t202" style="position:absolute;margin-left:0;margin-top:628pt;width:214pt;height:48pt;z-index:251691008;mso-position-horizontal-relative:margin;mso-position-vertical-relative:margin;mso-width-relative:margin;mso-height-relative:margin" filled="f" stroked="f">
            <v:textbox style="mso-next-textbox:#_x0000_s1059" inset="0,,0">
              <w:txbxContent>
                <w:p w:rsidR="00C9225F" w:rsidRPr="008F4CBD" w:rsidRDefault="00C9225F" w:rsidP="00D300F4">
                  <w:pPr>
                    <w:kinsoku w:val="0"/>
                    <w:overflowPunct w:val="0"/>
                    <w:spacing w:after="0"/>
                    <w:rPr>
                      <w:rFonts w:ascii="Times New Roman" w:eastAsia="+mn-ea" w:hAnsi="Times New Roman" w:cs="Times New Roman"/>
                      <w:i/>
                      <w:iCs/>
                      <w:color w:val="808080" w:themeColor="background1" w:themeShade="80"/>
                      <w:kern w:val="24"/>
                      <w:sz w:val="20"/>
                      <w:szCs w:val="24"/>
                    </w:rPr>
                  </w:pPr>
                  <w:r w:rsidRPr="002556F3">
                    <w:rPr>
                      <w:rFonts w:ascii="Times New Roman" w:eastAsia="+mn-ea" w:hAnsi="Times New Roman" w:cs="Times New Roman"/>
                      <w:i/>
                      <w:iCs/>
                      <w:color w:val="808080" w:themeColor="background1" w:themeShade="80"/>
                      <w:kern w:val="24"/>
                      <w:sz w:val="20"/>
                      <w:szCs w:val="24"/>
                    </w:rPr>
                    <w:t>In</w:t>
                  </w:r>
                  <w:r w:rsidRPr="008F4CBD">
                    <w:rPr>
                      <w:rFonts w:ascii="Times New Roman" w:eastAsia="+mn-ea" w:hAnsi="Times New Roman" w:cs="Times New Roman"/>
                      <w:i/>
                      <w:iCs/>
                      <w:color w:val="808080" w:themeColor="background1" w:themeShade="80"/>
                      <w:kern w:val="24"/>
                      <w:sz w:val="20"/>
                      <w:szCs w:val="24"/>
                    </w:rPr>
                    <w:t>dependent Statistics &amp; Analysis</w:t>
                  </w:r>
                </w:p>
                <w:p w:rsidR="00C9225F" w:rsidRPr="008F4CBD" w:rsidRDefault="00C9225F" w:rsidP="002556F3">
                  <w:pPr>
                    <w:spacing w:before="40" w:after="0"/>
                    <w:rPr>
                      <w:rFonts w:eastAsia="Times New Roman"/>
                      <w:color w:val="808080" w:themeColor="background1" w:themeShade="80"/>
                      <w:sz w:val="20"/>
                    </w:rPr>
                  </w:pPr>
                  <w:r w:rsidRPr="008F4CBD">
                    <w:rPr>
                      <w:color w:val="808080" w:themeColor="background1" w:themeShade="80"/>
                      <w:kern w:val="24"/>
                      <w:sz w:val="20"/>
                    </w:rPr>
                    <w:t>www.eia.gov</w:t>
                  </w:r>
                </w:p>
              </w:txbxContent>
            </v:textbox>
            <w10:wrap type="square" anchorx="margin" anchory="margin"/>
          </v:shape>
        </w:pict>
      </w:r>
      <w:r w:rsidR="004C7A2E" w:rsidRPr="004C7A2E">
        <w:rPr>
          <w:noProof/>
          <w:color w:val="A6A6A6" w:themeColor="background1" w:themeShade="A6"/>
        </w:rPr>
        <w:pict>
          <v:shape id="_x0000_s1060" type="#_x0000_t202" style="position:absolute;margin-left:257.5pt;margin-top:628pt;width:214pt;height:48pt;z-index:251692032;mso-position-horizontal-relative:margin;mso-position-vertical-relative:margin;mso-width-relative:margin;mso-height-relative:margin" filled="f" stroked="f">
            <v:textbox style="mso-next-textbox:#_x0000_s1060" inset="0">
              <w:txbxContent>
                <w:p w:rsidR="00C9225F" w:rsidRPr="008F4CBD" w:rsidRDefault="00C9225F" w:rsidP="002556F3">
                  <w:pPr>
                    <w:spacing w:after="0"/>
                    <w:jc w:val="right"/>
                    <w:rPr>
                      <w:color w:val="808080" w:themeColor="background1" w:themeShade="80"/>
                      <w:kern w:val="24"/>
                      <w:sz w:val="20"/>
                    </w:rPr>
                  </w:pPr>
                  <w:r w:rsidRPr="008F4CBD">
                    <w:rPr>
                      <w:color w:val="808080" w:themeColor="background1" w:themeShade="80"/>
                      <w:kern w:val="24"/>
                      <w:sz w:val="20"/>
                    </w:rPr>
                    <w:t>U.S. Department of Energy</w:t>
                  </w:r>
                </w:p>
                <w:p w:rsidR="00C9225F" w:rsidRPr="008F4CBD" w:rsidRDefault="00C9225F" w:rsidP="002556F3">
                  <w:pPr>
                    <w:spacing w:before="40" w:after="0"/>
                    <w:jc w:val="right"/>
                    <w:rPr>
                      <w:rFonts w:eastAsia="Times New Roman"/>
                      <w:color w:val="808080" w:themeColor="background1" w:themeShade="80"/>
                      <w:sz w:val="20"/>
                    </w:rPr>
                  </w:pPr>
                  <w:r w:rsidRPr="008F4CBD">
                    <w:rPr>
                      <w:color w:val="808080" w:themeColor="background1" w:themeShade="80"/>
                      <w:kern w:val="24"/>
                      <w:sz w:val="20"/>
                    </w:rPr>
                    <w:t>Washington, DC 20585</w:t>
                  </w:r>
                </w:p>
              </w:txbxContent>
            </v:textbox>
            <w10:wrap type="square" anchorx="margin" anchory="margin"/>
          </v:shape>
        </w:pict>
      </w:r>
      <w:r w:rsidR="001F3A8F">
        <w:br w:type="page"/>
      </w:r>
    </w:p>
    <w:p w:rsidR="00755C3D" w:rsidRDefault="00755C3D" w:rsidP="00D928FD">
      <w:pPr>
        <w:sectPr w:rsidR="00755C3D" w:rsidSect="001F3A8F">
          <w:headerReference w:type="default" r:id="rId11"/>
          <w:footerReference w:type="default" r:id="rId12"/>
          <w:footnotePr>
            <w:pos w:val="beneathText"/>
          </w:footnotePr>
          <w:type w:val="continuous"/>
          <w:pgSz w:w="12240" w:h="15840"/>
          <w:pgMar w:top="1440" w:right="1440" w:bottom="1440" w:left="1440" w:header="720" w:footer="720" w:gutter="0"/>
          <w:pgNumType w:fmt="lowerRoman" w:start="1"/>
          <w:cols w:space="720"/>
          <w:titlePg/>
          <w:docGrid w:linePitch="360"/>
        </w:sectPr>
      </w:pPr>
    </w:p>
    <w:p w:rsidR="00D928FD" w:rsidRDefault="00D928FD"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1F3A8F" w:rsidRDefault="001F3A8F" w:rsidP="00D928FD"/>
    <w:p w:rsidR="00677C5F" w:rsidRDefault="00677C5F" w:rsidP="00677C5F">
      <w:pPr>
        <w:pStyle w:val="Boxtext"/>
        <w:sectPr w:rsidR="00677C5F" w:rsidSect="00725453">
          <w:footerReference w:type="first" r:id="rId13"/>
          <w:footnotePr>
            <w:pos w:val="beneathText"/>
          </w:footnotePr>
          <w:type w:val="continuous"/>
          <w:pgSz w:w="12240" w:h="15840"/>
          <w:pgMar w:top="1440" w:right="1440" w:bottom="1440" w:left="1440" w:header="720" w:footer="720" w:gutter="0"/>
          <w:pgNumType w:fmt="lowerRoman" w:start="1"/>
          <w:cols w:space="720"/>
          <w:docGrid w:linePitch="360"/>
        </w:sectPr>
      </w:pPr>
      <w:r>
        <w:t>This report was prepared by the U.S. Energy Information Administration (EIA), the statistical and analytical agency within the U.S. Department of Energy. By law, EIA’s data, analyses, and forecasts are independent of approval by any other officer or employee of the United States Government. The views in this report therefore should not be construed as representing those of the Department of Energy or other Federal agencies</w:t>
      </w:r>
      <w:r w:rsidRPr="00187CD1">
        <w:t>.</w:t>
      </w:r>
    </w:p>
    <w:p w:rsidR="000E7135" w:rsidRDefault="00C9225F" w:rsidP="000E7135">
      <w:r w:rsidRPr="00C9225F">
        <w:lastRenderedPageBreak/>
        <w:t xml:space="preserve">With the help of the National Petroleum Council and with the voluntary participation of the industry, the U.S. Energy Information Administration (EIA) conducted a survey to evaluate product flows in the New York Harbor (NYH) area both prior to Hurricane Sandy and as of Tuesday, November 13.  Terminals representing 98% of storage capacity in the NYH area participated in this effort.  EIA and Department of Energy </w:t>
      </w:r>
      <w:proofErr w:type="gramStart"/>
      <w:r w:rsidRPr="00C9225F">
        <w:t>staff have</w:t>
      </w:r>
      <w:proofErr w:type="gramEnd"/>
      <w:r w:rsidRPr="00C9225F">
        <w:t xml:space="preserve"> remained abreast of the evolving situation since that time.  However, this paper reports on the situation as of November 13, the last date for which data covering virtually </w:t>
      </w:r>
      <w:proofErr w:type="gramStart"/>
      <w:r w:rsidRPr="00C9225F">
        <w:t>all of the</w:t>
      </w:r>
      <w:proofErr w:type="gramEnd"/>
      <w:r w:rsidRPr="00C9225F">
        <w:t xml:space="preserve"> NYH petroleum terminal infrastructure are available.</w:t>
      </w:r>
    </w:p>
    <w:p w:rsidR="00C9225F" w:rsidRDefault="00C9225F" w:rsidP="00C9225F">
      <w:pPr>
        <w:pStyle w:val="Heading2"/>
      </w:pPr>
      <w:bookmarkStart w:id="0" w:name="_Toc341254539"/>
      <w:r>
        <w:t>Background</w:t>
      </w:r>
      <w:bookmarkEnd w:id="0"/>
    </w:p>
    <w:p w:rsidR="00C9225F" w:rsidRDefault="00C9225F" w:rsidP="00C9225F">
      <w:r>
        <w:t>At 8:00 p</w:t>
      </w:r>
      <w:r w:rsidR="0079430B">
        <w:t>.</w:t>
      </w:r>
      <w:r>
        <w:t>m</w:t>
      </w:r>
      <w:r w:rsidR="0079430B">
        <w:t>.</w:t>
      </w:r>
      <w:r>
        <w:t xml:space="preserve"> EDT October 29, 2012, the National Hurricane Center reported that Sandy made landfall near Atlantic City, New Jersey, as a post-tropical cyclone.  The accompanying winds and flooding were devastating to many areas in the Northeast and damaged much of the energy infrastructure, including petroleum product supply and delivery systems around the NYH area.   </w:t>
      </w:r>
    </w:p>
    <w:p w:rsidR="00C9225F" w:rsidRDefault="00C9225F" w:rsidP="00C9225F">
      <w:r>
        <w:t>The NYH area is a major distribution hub for petroleum delivery to consumer markets in New England, New York, and New Jersey.  The terminals in this area, with combined storage capacity of about 70 million barrels,  receive product via pipeline from refineries on the U.S. Gulf Coast , the Philadelphia area</w:t>
      </w:r>
      <w:r w:rsidR="0079430B">
        <w:t xml:space="preserve">, </w:t>
      </w:r>
      <w:r>
        <w:t xml:space="preserve"> and the two refineries located in northern New Jersey</w:t>
      </w:r>
      <w:r w:rsidR="0079430B">
        <w:t xml:space="preserve">  </w:t>
      </w:r>
      <w:r w:rsidR="0079430B">
        <w:softHyphen/>
      </w:r>
      <w:r w:rsidR="0079430B">
        <w:sym w:font="Symbol" w:char="F02D"/>
      </w:r>
      <w:r w:rsidR="0079430B">
        <w:t xml:space="preserve"> the </w:t>
      </w:r>
      <w:r>
        <w:t xml:space="preserve">Phillips 66 </w:t>
      </w:r>
      <w:proofErr w:type="spellStart"/>
      <w:r>
        <w:t>Bay</w:t>
      </w:r>
      <w:r w:rsidR="0079430B">
        <w:t>way</w:t>
      </w:r>
      <w:proofErr w:type="spellEnd"/>
      <w:r>
        <w:t xml:space="preserve"> (238,000 barrels per day) and </w:t>
      </w:r>
      <w:r w:rsidR="0079430B">
        <w:t xml:space="preserve">the </w:t>
      </w:r>
      <w:r>
        <w:t>Hess Port Reading (70,000 barrels per day).  The terminals also receive product via tanker and barge, much of it imported from outside the United States.  Products from the terminals are then redistributed by barge and pipeline mainly to distribution terminals in New England, throughout the NYH area, up the Hudson River as far as Albany</w:t>
      </w:r>
      <w:r w:rsidR="0079430B">
        <w:t xml:space="preserve">, </w:t>
      </w:r>
      <w:r>
        <w:t xml:space="preserve">and via pipeline to upstate New York. These distribution terminals also supply gasoline, heating oil, and diesel fuel to trucks for delivery to retail outlets and local distributors.   </w:t>
      </w:r>
    </w:p>
    <w:p w:rsidR="00C9225F" w:rsidRDefault="00C9225F" w:rsidP="00C9225F">
      <w:pPr>
        <w:pStyle w:val="Heading2"/>
      </w:pPr>
      <w:bookmarkStart w:id="1" w:name="_Toc341254540"/>
      <w:r>
        <w:t>Impacts of Hurricane Sandy</w:t>
      </w:r>
      <w:bookmarkEnd w:id="1"/>
      <w:r>
        <w:tab/>
      </w:r>
    </w:p>
    <w:p w:rsidR="000E7135" w:rsidRDefault="00C9225F" w:rsidP="00C9225F">
      <w:r>
        <w:t>The hurricane damaged much of the petroleum supply infrastructure in the NYH area, including both of the refineries in northern New Jersey and many of the terminals.  The damage to the refineries and the terminals significantly disrupted the supply chain. Immediately following the storm, the lack of commercial or generator power kept many terminals from operating.  With terminals nonoperational, product supply into the region stopped. Colonial Pipeline, which moves substantial volumes of petroleum products from the Gulf Coast to the New York Harbor area, was forced to stop delivering products to the NYH terminals. Colonial also had to slow product movement throughout the entire pipeline, which serves areas from the Gulf Coast, up the East Coast into New Jersey and New York.</w:t>
      </w:r>
    </w:p>
    <w:p w:rsidR="00C9225F" w:rsidRDefault="00C9225F" w:rsidP="00C9225F">
      <w:r>
        <w:t>Some NYH terminals were badly damaged, but others were able to return to full or partial operation using generator power after dock inspections, underwater surveys, and electrical equipment replacement was completed.  As terminals began operating, the Colonial Pipeline was able to normalize product flows into the NYH terminals, although the recovery has not been smooth.  For example, after commercial power had been restored to terminals and pipelines in the area, Colonial Pipeline and several terminals lost power a second time as utilities struggled to repair the commercial power infrastructure.</w:t>
      </w:r>
    </w:p>
    <w:p w:rsidR="00C9225F" w:rsidRDefault="00C9225F">
      <w:pPr>
        <w:spacing w:line="240" w:lineRule="auto"/>
      </w:pPr>
      <w:r>
        <w:br w:type="page"/>
      </w:r>
    </w:p>
    <w:p w:rsidR="00C9225F" w:rsidRDefault="00C9225F" w:rsidP="00C9225F">
      <w:r>
        <w:lastRenderedPageBreak/>
        <w:t xml:space="preserve">As of November 13, neither the Phillips 66 </w:t>
      </w:r>
      <w:proofErr w:type="spellStart"/>
      <w:r>
        <w:t>Bayway</w:t>
      </w:r>
      <w:proofErr w:type="spellEnd"/>
      <w:r>
        <w:t xml:space="preserve"> Refinery nor the Hess Port Reading refinery was operating, although the Hess refinery has more recently begun to operate</w:t>
      </w:r>
      <w:r w:rsidR="0079430B">
        <w:t>,</w:t>
      </w:r>
      <w:r>
        <w:t xml:space="preserve"> and Phillips has reported plans to be partially operational late this month.  As of November 13, most of the terminals in the NYH area had returned to at least partial operations, but some are still impaired.  Damage to electrical and other infrastructure inside several terminals was significant and repairs continue. In addition, damage to barge and tanker dock facilities has been limiting waterborne receipts and shipments.  Terminals representing 98% of storage capacity in the NYH area voluntarily reported information provided in Tables 1 and 2.</w:t>
      </w:r>
    </w:p>
    <w:p w:rsidR="00C9225F" w:rsidRDefault="00C9225F" w:rsidP="00C9225F">
      <w:pPr>
        <w:pStyle w:val="Caption"/>
      </w:pPr>
      <w:bookmarkStart w:id="2" w:name="_Toc341254784"/>
      <w:proofErr w:type="gramStart"/>
      <w:r>
        <w:t xml:space="preserve">Table </w:t>
      </w:r>
      <w:fldSimple w:instr=" SEQ Table \* ARABIC ">
        <w:r w:rsidR="00B52841">
          <w:rPr>
            <w:noProof/>
          </w:rPr>
          <w:t>1</w:t>
        </w:r>
      </w:fldSimple>
      <w:r>
        <w:t>.</w:t>
      </w:r>
      <w:proofErr w:type="gramEnd"/>
      <w:r>
        <w:t xml:space="preserve"> </w:t>
      </w:r>
      <w:r w:rsidRPr="002A5E1D">
        <w:t>Summary of product flows</w:t>
      </w:r>
      <w:bookmarkEnd w:id="2"/>
    </w:p>
    <w:p w:rsidR="00C9225F" w:rsidRPr="00C9225F" w:rsidRDefault="00991932" w:rsidP="00C9225F">
      <w:pPr>
        <w:pStyle w:val="FootnoteText"/>
      </w:pPr>
      <w:r>
        <w:t>(</w:t>
      </w:r>
      <w:proofErr w:type="gramStart"/>
      <w:r>
        <w:t>t</w:t>
      </w:r>
      <w:r w:rsidR="00C9225F">
        <w:t>housand</w:t>
      </w:r>
      <w:proofErr w:type="gramEnd"/>
      <w:r w:rsidR="00C9225F">
        <w:t xml:space="preserve"> barrels per day except as noted)</w:t>
      </w:r>
    </w:p>
    <w:tbl>
      <w:tblPr>
        <w:tblStyle w:val="TableGrid"/>
        <w:tblW w:w="9918" w:type="dxa"/>
        <w:tblLayout w:type="fixed"/>
        <w:tblLook w:val="00A0"/>
      </w:tblPr>
      <w:tblGrid>
        <w:gridCol w:w="1839"/>
        <w:gridCol w:w="900"/>
        <w:gridCol w:w="267"/>
        <w:gridCol w:w="1017"/>
        <w:gridCol w:w="1126"/>
        <w:gridCol w:w="359"/>
        <w:gridCol w:w="689"/>
        <w:gridCol w:w="571"/>
        <w:gridCol w:w="1350"/>
        <w:gridCol w:w="1800"/>
      </w:tblGrid>
      <w:tr w:rsidR="00991932" w:rsidRPr="00BC3FCE" w:rsidTr="00991932">
        <w:trPr>
          <w:cnfStyle w:val="100000000000"/>
          <w:trHeight w:val="290"/>
        </w:trPr>
        <w:tc>
          <w:tcPr>
            <w:cnfStyle w:val="001000000100"/>
            <w:tcW w:w="1839" w:type="dxa"/>
            <w:vMerge w:val="restart"/>
          </w:tcPr>
          <w:p w:rsidR="00991932" w:rsidRPr="00BC3FCE" w:rsidRDefault="00991932" w:rsidP="00C9225F">
            <w:pPr>
              <w:autoSpaceDE w:val="0"/>
              <w:autoSpaceDN w:val="0"/>
              <w:adjustRightInd w:val="0"/>
              <w:spacing w:line="240" w:lineRule="auto"/>
              <w:rPr>
                <w:rFonts w:ascii="Calibri" w:hAnsi="Calibri" w:cs="Calibri"/>
                <w:color w:val="000000"/>
              </w:rPr>
            </w:pPr>
          </w:p>
        </w:tc>
        <w:tc>
          <w:tcPr>
            <w:tcW w:w="3310" w:type="dxa"/>
            <w:gridSpan w:val="4"/>
            <w:tcBorders>
              <w:bottom w:val="single" w:sz="12" w:space="0" w:color="D9D9D9" w:themeColor="background1" w:themeShade="D9"/>
            </w:tcBorders>
          </w:tcPr>
          <w:p w:rsidR="00991932" w:rsidRPr="00BC3FCE" w:rsidRDefault="00991932" w:rsidP="00C9225F">
            <w:pPr>
              <w:autoSpaceDE w:val="0"/>
              <w:autoSpaceDN w:val="0"/>
              <w:adjustRightInd w:val="0"/>
              <w:spacing w:line="240" w:lineRule="auto"/>
              <w:jc w:val="center"/>
              <w:cnfStyle w:val="100000000000"/>
              <w:rPr>
                <w:rFonts w:ascii="Calibri" w:hAnsi="Calibri" w:cs="Calibri"/>
                <w:color w:val="000000"/>
              </w:rPr>
            </w:pPr>
            <w:r w:rsidRPr="00BC3FCE">
              <w:rPr>
                <w:rFonts w:ascii="Calibri" w:hAnsi="Calibri" w:cs="Calibri"/>
                <w:color w:val="000000"/>
              </w:rPr>
              <w:t>Receipts (Inflows)</w:t>
            </w:r>
          </w:p>
        </w:tc>
        <w:tc>
          <w:tcPr>
            <w:tcW w:w="1048" w:type="dxa"/>
            <w:gridSpan w:val="2"/>
            <w:tcBorders>
              <w:bottom w:val="none" w:sz="0" w:space="0" w:color="auto"/>
            </w:tcBorders>
          </w:tcPr>
          <w:p w:rsidR="00991932" w:rsidRPr="00BC3FCE" w:rsidRDefault="00991932" w:rsidP="00C9225F">
            <w:pPr>
              <w:autoSpaceDE w:val="0"/>
              <w:autoSpaceDN w:val="0"/>
              <w:adjustRightInd w:val="0"/>
              <w:spacing w:line="240" w:lineRule="auto"/>
              <w:jc w:val="center"/>
              <w:cnfStyle w:val="100000000000"/>
              <w:rPr>
                <w:rFonts w:ascii="Calibri" w:hAnsi="Calibri" w:cs="Calibri"/>
                <w:color w:val="000000"/>
              </w:rPr>
            </w:pPr>
          </w:p>
        </w:tc>
        <w:tc>
          <w:tcPr>
            <w:tcW w:w="3721" w:type="dxa"/>
            <w:gridSpan w:val="3"/>
            <w:tcBorders>
              <w:bottom w:val="single" w:sz="8" w:space="0" w:color="D9D9D9" w:themeColor="background1" w:themeShade="D9"/>
            </w:tcBorders>
          </w:tcPr>
          <w:p w:rsidR="00991932" w:rsidRPr="00BC3FCE" w:rsidRDefault="00991932" w:rsidP="00C9225F">
            <w:pPr>
              <w:autoSpaceDE w:val="0"/>
              <w:autoSpaceDN w:val="0"/>
              <w:adjustRightInd w:val="0"/>
              <w:spacing w:line="240" w:lineRule="auto"/>
              <w:jc w:val="center"/>
              <w:cnfStyle w:val="100000000000"/>
              <w:rPr>
                <w:rFonts w:ascii="Calibri" w:hAnsi="Calibri" w:cs="Calibri"/>
                <w:color w:val="000000"/>
              </w:rPr>
            </w:pPr>
            <w:r w:rsidRPr="00BC3FCE">
              <w:rPr>
                <w:rFonts w:ascii="Calibri" w:hAnsi="Calibri" w:cs="Calibri"/>
                <w:color w:val="000000"/>
              </w:rPr>
              <w:t>Deliveries (Outflows)</w:t>
            </w:r>
          </w:p>
        </w:tc>
      </w:tr>
      <w:tr w:rsidR="00991932" w:rsidRPr="00BC3FCE" w:rsidTr="00991932">
        <w:trPr>
          <w:cnfStyle w:val="000000100000"/>
          <w:trHeight w:val="747"/>
        </w:trPr>
        <w:tc>
          <w:tcPr>
            <w:cnfStyle w:val="001000000000"/>
            <w:tcW w:w="1839" w:type="dxa"/>
            <w:vMerge/>
            <w:tcBorders>
              <w:bottom w:val="single" w:sz="12" w:space="0" w:color="0096D7" w:themeColor="accent1"/>
            </w:tcBorders>
          </w:tcPr>
          <w:p w:rsidR="00991932" w:rsidRPr="00BC3FCE" w:rsidRDefault="00991932" w:rsidP="00C9225F">
            <w:pPr>
              <w:autoSpaceDE w:val="0"/>
              <w:autoSpaceDN w:val="0"/>
              <w:adjustRightInd w:val="0"/>
              <w:spacing w:line="240" w:lineRule="auto"/>
              <w:jc w:val="right"/>
              <w:rPr>
                <w:rFonts w:ascii="Calibri" w:hAnsi="Calibri" w:cs="Calibri"/>
                <w:color w:val="000000"/>
              </w:rPr>
            </w:pPr>
          </w:p>
        </w:tc>
        <w:tc>
          <w:tcPr>
            <w:tcW w:w="900" w:type="dxa"/>
            <w:tcBorders>
              <w:top w:val="single" w:sz="12" w:space="0" w:color="D9D9D9" w:themeColor="background1" w:themeShade="D9"/>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r w:rsidRPr="00C9225F">
              <w:rPr>
                <w:rFonts w:ascii="Calibri" w:hAnsi="Calibri" w:cs="Calibri"/>
                <w:b/>
                <w:color w:val="000000"/>
              </w:rPr>
              <w:t>Pre-Storm</w:t>
            </w:r>
          </w:p>
        </w:tc>
        <w:tc>
          <w:tcPr>
            <w:tcW w:w="1284" w:type="dxa"/>
            <w:gridSpan w:val="2"/>
            <w:tcBorders>
              <w:top w:val="single" w:sz="12" w:space="0" w:color="D9D9D9" w:themeColor="background1" w:themeShade="D9"/>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r w:rsidRPr="00C9225F">
              <w:rPr>
                <w:rFonts w:ascii="Calibri" w:hAnsi="Calibri" w:cs="Calibri"/>
                <w:b/>
                <w:color w:val="000000"/>
              </w:rPr>
              <w:t>Post-Storm Nov 7-13 Average</w:t>
            </w:r>
          </w:p>
        </w:tc>
        <w:tc>
          <w:tcPr>
            <w:tcW w:w="1126" w:type="dxa"/>
            <w:tcBorders>
              <w:top w:val="single" w:sz="12" w:space="0" w:color="D9D9D9" w:themeColor="background1" w:themeShade="D9"/>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r w:rsidRPr="00C9225F">
              <w:rPr>
                <w:rFonts w:ascii="Calibri" w:hAnsi="Calibri" w:cs="Calibri"/>
                <w:b/>
                <w:color w:val="000000"/>
              </w:rPr>
              <w:t>Post-Storm Percent of Pre-Storm</w:t>
            </w:r>
          </w:p>
        </w:tc>
        <w:tc>
          <w:tcPr>
            <w:tcW w:w="359" w:type="dxa"/>
            <w:tcBorders>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p>
        </w:tc>
        <w:tc>
          <w:tcPr>
            <w:tcW w:w="1260" w:type="dxa"/>
            <w:gridSpan w:val="2"/>
            <w:tcBorders>
              <w:top w:val="single" w:sz="8" w:space="0" w:color="D9D9D9" w:themeColor="background1" w:themeShade="D9"/>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r w:rsidRPr="00C9225F">
              <w:rPr>
                <w:rFonts w:ascii="Calibri" w:hAnsi="Calibri" w:cs="Calibri"/>
                <w:b/>
                <w:color w:val="000000"/>
              </w:rPr>
              <w:t>Pre-Storm</w:t>
            </w:r>
          </w:p>
        </w:tc>
        <w:tc>
          <w:tcPr>
            <w:tcW w:w="1350" w:type="dxa"/>
            <w:tcBorders>
              <w:top w:val="single" w:sz="8" w:space="0" w:color="D9D9D9" w:themeColor="background1" w:themeShade="D9"/>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r w:rsidRPr="00C9225F">
              <w:rPr>
                <w:rFonts w:ascii="Calibri" w:hAnsi="Calibri" w:cs="Calibri"/>
                <w:b/>
                <w:color w:val="000000"/>
              </w:rPr>
              <w:t>Post-Storm Nov 7-13 Average</w:t>
            </w:r>
          </w:p>
        </w:tc>
        <w:tc>
          <w:tcPr>
            <w:tcW w:w="1800" w:type="dxa"/>
            <w:tcBorders>
              <w:top w:val="single" w:sz="8" w:space="0" w:color="D9D9D9" w:themeColor="background1" w:themeShade="D9"/>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r w:rsidRPr="00C9225F">
              <w:rPr>
                <w:rFonts w:ascii="Calibri" w:hAnsi="Calibri" w:cs="Calibri"/>
                <w:b/>
                <w:color w:val="000000"/>
              </w:rPr>
              <w:t>Post-Storm Percent of Pre-Storm</w:t>
            </w:r>
          </w:p>
        </w:tc>
      </w:tr>
      <w:tr w:rsidR="00991932" w:rsidRPr="00BC3FCE" w:rsidTr="00991932">
        <w:trPr>
          <w:cnfStyle w:val="000000010000"/>
          <w:trHeight w:val="305"/>
        </w:trPr>
        <w:tc>
          <w:tcPr>
            <w:cnfStyle w:val="001000000000"/>
            <w:tcW w:w="1839" w:type="dxa"/>
            <w:tcBorders>
              <w:top w:val="single" w:sz="12" w:space="0" w:color="0096D7" w:themeColor="accent1"/>
            </w:tcBorders>
          </w:tcPr>
          <w:p w:rsidR="00991932" w:rsidRPr="00BC3FCE" w:rsidRDefault="00991932" w:rsidP="00C9225F">
            <w:pPr>
              <w:autoSpaceDE w:val="0"/>
              <w:autoSpaceDN w:val="0"/>
              <w:adjustRightInd w:val="0"/>
              <w:spacing w:line="240" w:lineRule="auto"/>
              <w:rPr>
                <w:rFonts w:ascii="Calibri" w:hAnsi="Calibri" w:cs="Calibri"/>
                <w:color w:val="000000"/>
              </w:rPr>
            </w:pPr>
            <w:r w:rsidRPr="00BC3FCE">
              <w:rPr>
                <w:rFonts w:ascii="Calibri" w:hAnsi="Calibri" w:cs="Calibri"/>
                <w:color w:val="000000"/>
              </w:rPr>
              <w:t>Gasoline</w:t>
            </w:r>
          </w:p>
        </w:tc>
        <w:tc>
          <w:tcPr>
            <w:tcW w:w="1167" w:type="dxa"/>
            <w:gridSpan w:val="2"/>
            <w:tcBorders>
              <w:top w:val="single" w:sz="12" w:space="0" w:color="0096D7" w:themeColor="accent1"/>
            </w:tcBorders>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r w:rsidRPr="00BC3FCE">
              <w:rPr>
                <w:rFonts w:ascii="Calibri" w:hAnsi="Calibri" w:cs="Calibri"/>
                <w:color w:val="000000"/>
              </w:rPr>
              <w:t>941</w:t>
            </w:r>
          </w:p>
        </w:tc>
        <w:tc>
          <w:tcPr>
            <w:tcW w:w="1017" w:type="dxa"/>
            <w:tcBorders>
              <w:top w:val="single" w:sz="12" w:space="0" w:color="0096D7" w:themeColor="accent1"/>
            </w:tcBorders>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r w:rsidRPr="00BC3FCE">
              <w:rPr>
                <w:rFonts w:ascii="Calibri" w:hAnsi="Calibri" w:cs="Calibri"/>
                <w:color w:val="000000"/>
              </w:rPr>
              <w:t>597</w:t>
            </w:r>
          </w:p>
        </w:tc>
        <w:tc>
          <w:tcPr>
            <w:tcW w:w="1126" w:type="dxa"/>
            <w:tcBorders>
              <w:top w:val="single" w:sz="12" w:space="0" w:color="0096D7" w:themeColor="accent1"/>
            </w:tcBorders>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r w:rsidRPr="00BC3FCE">
              <w:rPr>
                <w:rFonts w:ascii="Calibri" w:hAnsi="Calibri" w:cs="Calibri"/>
                <w:color w:val="000000"/>
              </w:rPr>
              <w:t>63%</w:t>
            </w:r>
          </w:p>
        </w:tc>
        <w:tc>
          <w:tcPr>
            <w:tcW w:w="359" w:type="dxa"/>
            <w:tcBorders>
              <w:top w:val="single" w:sz="12" w:space="0" w:color="0096D7" w:themeColor="accent1"/>
            </w:tcBorders>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p>
        </w:tc>
        <w:tc>
          <w:tcPr>
            <w:tcW w:w="1260" w:type="dxa"/>
            <w:gridSpan w:val="2"/>
            <w:tcBorders>
              <w:top w:val="single" w:sz="12" w:space="0" w:color="0096D7" w:themeColor="accent1"/>
            </w:tcBorders>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r w:rsidRPr="00BC3FCE">
              <w:rPr>
                <w:rFonts w:ascii="Calibri" w:hAnsi="Calibri" w:cs="Calibri"/>
                <w:color w:val="000000"/>
              </w:rPr>
              <w:t>838</w:t>
            </w:r>
          </w:p>
        </w:tc>
        <w:tc>
          <w:tcPr>
            <w:tcW w:w="1350" w:type="dxa"/>
            <w:tcBorders>
              <w:top w:val="single" w:sz="12" w:space="0" w:color="0096D7" w:themeColor="accent1"/>
            </w:tcBorders>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r w:rsidRPr="00BC3FCE">
              <w:rPr>
                <w:rFonts w:ascii="Calibri" w:hAnsi="Calibri" w:cs="Calibri"/>
                <w:color w:val="000000"/>
              </w:rPr>
              <w:t>605</w:t>
            </w:r>
          </w:p>
        </w:tc>
        <w:tc>
          <w:tcPr>
            <w:tcW w:w="1800" w:type="dxa"/>
            <w:tcBorders>
              <w:top w:val="single" w:sz="12" w:space="0" w:color="0096D7" w:themeColor="accent1"/>
            </w:tcBorders>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r w:rsidRPr="00BC3FCE">
              <w:rPr>
                <w:rFonts w:ascii="Calibri" w:hAnsi="Calibri" w:cs="Calibri"/>
                <w:color w:val="000000"/>
              </w:rPr>
              <w:t>72%</w:t>
            </w:r>
          </w:p>
        </w:tc>
      </w:tr>
      <w:tr w:rsidR="00991932" w:rsidRPr="00BC3FCE" w:rsidTr="00991932">
        <w:trPr>
          <w:cnfStyle w:val="000000100000"/>
          <w:trHeight w:val="290"/>
        </w:trPr>
        <w:tc>
          <w:tcPr>
            <w:cnfStyle w:val="001000000000"/>
            <w:tcW w:w="1839" w:type="dxa"/>
          </w:tcPr>
          <w:p w:rsidR="00991932" w:rsidRPr="00BC3FCE" w:rsidRDefault="00991932" w:rsidP="00C9225F">
            <w:pPr>
              <w:autoSpaceDE w:val="0"/>
              <w:autoSpaceDN w:val="0"/>
              <w:adjustRightInd w:val="0"/>
              <w:spacing w:line="240" w:lineRule="auto"/>
              <w:rPr>
                <w:rFonts w:ascii="Calibri" w:hAnsi="Calibri" w:cs="Calibri"/>
                <w:color w:val="000000"/>
              </w:rPr>
            </w:pPr>
            <w:r w:rsidRPr="00BC3FCE">
              <w:rPr>
                <w:rFonts w:ascii="Calibri" w:hAnsi="Calibri" w:cs="Calibri"/>
                <w:color w:val="000000"/>
              </w:rPr>
              <w:t>Distillate</w:t>
            </w:r>
          </w:p>
        </w:tc>
        <w:tc>
          <w:tcPr>
            <w:tcW w:w="1167" w:type="dxa"/>
            <w:gridSpan w:val="2"/>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r w:rsidRPr="00BC3FCE">
              <w:rPr>
                <w:rFonts w:ascii="Calibri" w:hAnsi="Calibri" w:cs="Calibri"/>
                <w:color w:val="000000"/>
              </w:rPr>
              <w:t>281</w:t>
            </w:r>
          </w:p>
        </w:tc>
        <w:tc>
          <w:tcPr>
            <w:tcW w:w="1017" w:type="dxa"/>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r w:rsidRPr="00BC3FCE">
              <w:rPr>
                <w:rFonts w:ascii="Calibri" w:hAnsi="Calibri" w:cs="Calibri"/>
                <w:color w:val="000000"/>
              </w:rPr>
              <w:t>184</w:t>
            </w:r>
          </w:p>
        </w:tc>
        <w:tc>
          <w:tcPr>
            <w:tcW w:w="1126" w:type="dxa"/>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r w:rsidRPr="00BC3FCE">
              <w:rPr>
                <w:rFonts w:ascii="Calibri" w:hAnsi="Calibri" w:cs="Calibri"/>
                <w:color w:val="000000"/>
              </w:rPr>
              <w:t>65%</w:t>
            </w:r>
          </w:p>
        </w:tc>
        <w:tc>
          <w:tcPr>
            <w:tcW w:w="359" w:type="dxa"/>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p>
        </w:tc>
        <w:tc>
          <w:tcPr>
            <w:tcW w:w="1260" w:type="dxa"/>
            <w:gridSpan w:val="2"/>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r w:rsidRPr="00BC3FCE">
              <w:rPr>
                <w:rFonts w:ascii="Calibri" w:hAnsi="Calibri" w:cs="Calibri"/>
                <w:color w:val="000000"/>
              </w:rPr>
              <w:t>317</w:t>
            </w:r>
          </w:p>
        </w:tc>
        <w:tc>
          <w:tcPr>
            <w:tcW w:w="1350" w:type="dxa"/>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r w:rsidRPr="00BC3FCE">
              <w:rPr>
                <w:rFonts w:ascii="Calibri" w:hAnsi="Calibri" w:cs="Calibri"/>
                <w:color w:val="000000"/>
              </w:rPr>
              <w:t>176</w:t>
            </w:r>
          </w:p>
        </w:tc>
        <w:tc>
          <w:tcPr>
            <w:tcW w:w="1800" w:type="dxa"/>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r w:rsidRPr="00BC3FCE">
              <w:rPr>
                <w:rFonts w:ascii="Calibri" w:hAnsi="Calibri" w:cs="Calibri"/>
                <w:color w:val="000000"/>
              </w:rPr>
              <w:t>56%</w:t>
            </w:r>
          </w:p>
        </w:tc>
      </w:tr>
      <w:tr w:rsidR="00991932" w:rsidRPr="00BC3FCE" w:rsidTr="00991932">
        <w:trPr>
          <w:cnfStyle w:val="000000010000"/>
          <w:trHeight w:val="327"/>
        </w:trPr>
        <w:tc>
          <w:tcPr>
            <w:cnfStyle w:val="001000000000"/>
            <w:tcW w:w="1839" w:type="dxa"/>
          </w:tcPr>
          <w:p w:rsidR="00991932" w:rsidRPr="00BC3FCE" w:rsidRDefault="00991932" w:rsidP="00C9225F">
            <w:pPr>
              <w:autoSpaceDE w:val="0"/>
              <w:autoSpaceDN w:val="0"/>
              <w:adjustRightInd w:val="0"/>
              <w:spacing w:line="240" w:lineRule="auto"/>
              <w:rPr>
                <w:rFonts w:ascii="Calibri" w:hAnsi="Calibri" w:cs="Calibri"/>
                <w:color w:val="000000"/>
              </w:rPr>
            </w:pPr>
            <w:r w:rsidRPr="00BC3FCE">
              <w:rPr>
                <w:rFonts w:ascii="Calibri" w:hAnsi="Calibri" w:cs="Calibri"/>
                <w:color w:val="000000"/>
              </w:rPr>
              <w:t>Other (Jet, Ethanol)</w:t>
            </w:r>
          </w:p>
        </w:tc>
        <w:tc>
          <w:tcPr>
            <w:tcW w:w="1167" w:type="dxa"/>
            <w:gridSpan w:val="2"/>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r w:rsidRPr="00BC3FCE">
              <w:rPr>
                <w:rFonts w:ascii="Calibri" w:hAnsi="Calibri" w:cs="Calibri"/>
                <w:color w:val="000000"/>
              </w:rPr>
              <w:t>197</w:t>
            </w:r>
          </w:p>
        </w:tc>
        <w:tc>
          <w:tcPr>
            <w:tcW w:w="1017" w:type="dxa"/>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r w:rsidRPr="00BC3FCE">
              <w:rPr>
                <w:rFonts w:ascii="Calibri" w:hAnsi="Calibri" w:cs="Calibri"/>
                <w:color w:val="000000"/>
              </w:rPr>
              <w:t>136</w:t>
            </w:r>
          </w:p>
        </w:tc>
        <w:tc>
          <w:tcPr>
            <w:tcW w:w="1126" w:type="dxa"/>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r w:rsidRPr="00BC3FCE">
              <w:rPr>
                <w:rFonts w:ascii="Calibri" w:hAnsi="Calibri" w:cs="Calibri"/>
                <w:color w:val="000000"/>
              </w:rPr>
              <w:t>69%</w:t>
            </w:r>
          </w:p>
        </w:tc>
        <w:tc>
          <w:tcPr>
            <w:tcW w:w="359" w:type="dxa"/>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p>
        </w:tc>
        <w:tc>
          <w:tcPr>
            <w:tcW w:w="1260" w:type="dxa"/>
            <w:gridSpan w:val="2"/>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r w:rsidRPr="00BC3FCE">
              <w:rPr>
                <w:rFonts w:ascii="Calibri" w:hAnsi="Calibri" w:cs="Calibri"/>
                <w:color w:val="000000"/>
              </w:rPr>
              <w:t>192</w:t>
            </w:r>
          </w:p>
        </w:tc>
        <w:tc>
          <w:tcPr>
            <w:tcW w:w="1350" w:type="dxa"/>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r w:rsidRPr="00BC3FCE">
              <w:rPr>
                <w:rFonts w:ascii="Calibri" w:hAnsi="Calibri" w:cs="Calibri"/>
                <w:color w:val="000000"/>
              </w:rPr>
              <w:t>38</w:t>
            </w:r>
          </w:p>
        </w:tc>
        <w:tc>
          <w:tcPr>
            <w:tcW w:w="1800" w:type="dxa"/>
          </w:tcPr>
          <w:p w:rsidR="00991932" w:rsidRPr="00BC3FCE" w:rsidRDefault="00991932" w:rsidP="00C9225F">
            <w:pPr>
              <w:autoSpaceDE w:val="0"/>
              <w:autoSpaceDN w:val="0"/>
              <w:adjustRightInd w:val="0"/>
              <w:spacing w:line="240" w:lineRule="auto"/>
              <w:cnfStyle w:val="000000010000"/>
              <w:rPr>
                <w:rFonts w:ascii="Calibri" w:hAnsi="Calibri" w:cs="Calibri"/>
                <w:color w:val="000000"/>
              </w:rPr>
            </w:pPr>
            <w:r w:rsidRPr="00BC3FCE">
              <w:rPr>
                <w:rFonts w:ascii="Calibri" w:hAnsi="Calibri" w:cs="Calibri"/>
                <w:color w:val="000000"/>
              </w:rPr>
              <w:t>20%</w:t>
            </w:r>
          </w:p>
        </w:tc>
      </w:tr>
      <w:tr w:rsidR="00991932" w:rsidRPr="00BC3FCE" w:rsidTr="00991932">
        <w:trPr>
          <w:cnfStyle w:val="000000100000"/>
          <w:trHeight w:val="290"/>
        </w:trPr>
        <w:tc>
          <w:tcPr>
            <w:cnfStyle w:val="001000000000"/>
            <w:tcW w:w="1839" w:type="dxa"/>
            <w:tcBorders>
              <w:top w:val="dashed" w:sz="4" w:space="0" w:color="BFBFBF" w:themeColor="background1" w:themeShade="BF"/>
              <w:bottom w:val="single" w:sz="8" w:space="0" w:color="0096D7" w:themeColor="accent1"/>
            </w:tcBorders>
          </w:tcPr>
          <w:p w:rsidR="00991932" w:rsidRPr="00BC3FCE" w:rsidRDefault="00991932" w:rsidP="00C9225F">
            <w:pPr>
              <w:autoSpaceDE w:val="0"/>
              <w:autoSpaceDN w:val="0"/>
              <w:adjustRightInd w:val="0"/>
              <w:spacing w:line="240" w:lineRule="auto"/>
              <w:rPr>
                <w:rFonts w:ascii="Calibri" w:hAnsi="Calibri" w:cs="Calibri"/>
                <w:color w:val="000000"/>
              </w:rPr>
            </w:pPr>
            <w:r w:rsidRPr="00BC3FCE">
              <w:rPr>
                <w:rFonts w:ascii="Calibri" w:hAnsi="Calibri" w:cs="Calibri"/>
                <w:color w:val="000000"/>
              </w:rPr>
              <w:t>Total</w:t>
            </w:r>
          </w:p>
        </w:tc>
        <w:tc>
          <w:tcPr>
            <w:tcW w:w="1167" w:type="dxa"/>
            <w:gridSpan w:val="2"/>
            <w:tcBorders>
              <w:top w:val="dashed" w:sz="4" w:space="0" w:color="BFBFBF" w:themeColor="background1" w:themeShade="BF"/>
              <w:bottom w:val="single" w:sz="8" w:space="0" w:color="0096D7" w:themeColor="accent1"/>
            </w:tcBorders>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r w:rsidRPr="00BC3FCE">
              <w:rPr>
                <w:rFonts w:ascii="Calibri" w:hAnsi="Calibri" w:cs="Calibri"/>
                <w:color w:val="000000"/>
              </w:rPr>
              <w:t>1,419</w:t>
            </w:r>
          </w:p>
        </w:tc>
        <w:tc>
          <w:tcPr>
            <w:tcW w:w="1017" w:type="dxa"/>
            <w:tcBorders>
              <w:top w:val="dashed" w:sz="4" w:space="0" w:color="BFBFBF" w:themeColor="background1" w:themeShade="BF"/>
              <w:bottom w:val="single" w:sz="8" w:space="0" w:color="0096D7" w:themeColor="accent1"/>
            </w:tcBorders>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r w:rsidRPr="00BC3FCE">
              <w:rPr>
                <w:rFonts w:ascii="Calibri" w:hAnsi="Calibri" w:cs="Calibri"/>
                <w:color w:val="000000"/>
              </w:rPr>
              <w:t>917</w:t>
            </w:r>
          </w:p>
        </w:tc>
        <w:tc>
          <w:tcPr>
            <w:tcW w:w="1126" w:type="dxa"/>
            <w:tcBorders>
              <w:top w:val="dashed" w:sz="4" w:space="0" w:color="BFBFBF" w:themeColor="background1" w:themeShade="BF"/>
              <w:bottom w:val="single" w:sz="8" w:space="0" w:color="0096D7" w:themeColor="accent1"/>
            </w:tcBorders>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r w:rsidRPr="00BC3FCE">
              <w:rPr>
                <w:rFonts w:ascii="Calibri" w:hAnsi="Calibri" w:cs="Calibri"/>
                <w:color w:val="000000"/>
              </w:rPr>
              <w:t>65%</w:t>
            </w:r>
          </w:p>
        </w:tc>
        <w:tc>
          <w:tcPr>
            <w:tcW w:w="359" w:type="dxa"/>
            <w:tcBorders>
              <w:top w:val="dashed" w:sz="4" w:space="0" w:color="BFBFBF" w:themeColor="background1" w:themeShade="BF"/>
              <w:bottom w:val="single" w:sz="8" w:space="0" w:color="0096D7" w:themeColor="accent1"/>
            </w:tcBorders>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p>
        </w:tc>
        <w:tc>
          <w:tcPr>
            <w:tcW w:w="1260" w:type="dxa"/>
            <w:gridSpan w:val="2"/>
            <w:tcBorders>
              <w:top w:val="dashed" w:sz="4" w:space="0" w:color="BFBFBF" w:themeColor="background1" w:themeShade="BF"/>
              <w:bottom w:val="single" w:sz="8" w:space="0" w:color="0096D7" w:themeColor="accent1"/>
            </w:tcBorders>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r w:rsidRPr="00BC3FCE">
              <w:rPr>
                <w:rFonts w:ascii="Calibri" w:hAnsi="Calibri" w:cs="Calibri"/>
                <w:color w:val="000000"/>
              </w:rPr>
              <w:t>1347</w:t>
            </w:r>
          </w:p>
        </w:tc>
        <w:tc>
          <w:tcPr>
            <w:tcW w:w="1350" w:type="dxa"/>
            <w:tcBorders>
              <w:top w:val="dashed" w:sz="4" w:space="0" w:color="BFBFBF" w:themeColor="background1" w:themeShade="BF"/>
              <w:bottom w:val="single" w:sz="8" w:space="0" w:color="0096D7" w:themeColor="accent1"/>
            </w:tcBorders>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r w:rsidRPr="00BC3FCE">
              <w:rPr>
                <w:rFonts w:ascii="Calibri" w:hAnsi="Calibri" w:cs="Calibri"/>
                <w:color w:val="000000"/>
              </w:rPr>
              <w:t>819</w:t>
            </w:r>
          </w:p>
        </w:tc>
        <w:tc>
          <w:tcPr>
            <w:tcW w:w="1800" w:type="dxa"/>
            <w:tcBorders>
              <w:top w:val="dashed" w:sz="4" w:space="0" w:color="BFBFBF" w:themeColor="background1" w:themeShade="BF"/>
              <w:bottom w:val="single" w:sz="8" w:space="0" w:color="0096D7" w:themeColor="accent1"/>
            </w:tcBorders>
          </w:tcPr>
          <w:p w:rsidR="00991932" w:rsidRPr="00BC3FCE" w:rsidRDefault="00991932" w:rsidP="00C9225F">
            <w:pPr>
              <w:autoSpaceDE w:val="0"/>
              <w:autoSpaceDN w:val="0"/>
              <w:adjustRightInd w:val="0"/>
              <w:spacing w:line="240" w:lineRule="auto"/>
              <w:cnfStyle w:val="000000100000"/>
              <w:rPr>
                <w:rFonts w:ascii="Calibri" w:hAnsi="Calibri" w:cs="Calibri"/>
                <w:color w:val="000000"/>
              </w:rPr>
            </w:pPr>
            <w:r w:rsidRPr="00BC3FCE">
              <w:rPr>
                <w:rFonts w:ascii="Calibri" w:hAnsi="Calibri" w:cs="Calibri"/>
                <w:color w:val="000000"/>
              </w:rPr>
              <w:t>61%</w:t>
            </w:r>
          </w:p>
        </w:tc>
      </w:tr>
    </w:tbl>
    <w:p w:rsidR="00C9225F" w:rsidRDefault="00C9225F" w:rsidP="00C9225F">
      <w:pPr>
        <w:pStyle w:val="FootnoteText"/>
      </w:pPr>
    </w:p>
    <w:p w:rsidR="00C9225F" w:rsidRDefault="00C9225F" w:rsidP="00C9225F">
      <w:pPr>
        <w:pStyle w:val="FootnoteText"/>
      </w:pPr>
    </w:p>
    <w:p w:rsidR="00C9225F" w:rsidRDefault="00C9225F" w:rsidP="00C9225F">
      <w:pPr>
        <w:pStyle w:val="Caption"/>
      </w:pPr>
      <w:r w:rsidRPr="00C9225F">
        <w:t xml:space="preserve">  </w:t>
      </w:r>
    </w:p>
    <w:p w:rsidR="00B52841" w:rsidRDefault="00B52841" w:rsidP="00B52841">
      <w:pPr>
        <w:pStyle w:val="Caption"/>
      </w:pPr>
      <w:bookmarkStart w:id="3" w:name="_Toc341254785"/>
      <w:proofErr w:type="gramStart"/>
      <w:r>
        <w:t xml:space="preserve">Table </w:t>
      </w:r>
      <w:fldSimple w:instr=" SEQ Table \* ARABIC ">
        <w:r>
          <w:rPr>
            <w:noProof/>
          </w:rPr>
          <w:t>2</w:t>
        </w:r>
      </w:fldSimple>
      <w:r>
        <w:t>.</w:t>
      </w:r>
      <w:proofErr w:type="gramEnd"/>
      <w:r>
        <w:t xml:space="preserve"> </w:t>
      </w:r>
      <w:r w:rsidRPr="00794D8D">
        <w:t>Summary of flows by transportation mode</w:t>
      </w:r>
      <w:bookmarkEnd w:id="3"/>
    </w:p>
    <w:p w:rsidR="00B52841" w:rsidRPr="00B52841" w:rsidRDefault="00991932" w:rsidP="00B52841">
      <w:pPr>
        <w:pStyle w:val="FootnoteText"/>
      </w:pPr>
      <w:r>
        <w:t>(</w:t>
      </w:r>
      <w:proofErr w:type="gramStart"/>
      <w:r>
        <w:t>t</w:t>
      </w:r>
      <w:r w:rsidR="00B52841">
        <w:t>housand</w:t>
      </w:r>
      <w:proofErr w:type="gramEnd"/>
      <w:r w:rsidR="00B52841">
        <w:t xml:space="preserve"> barrels per day except as noted)</w:t>
      </w:r>
    </w:p>
    <w:tbl>
      <w:tblPr>
        <w:tblStyle w:val="TableGrid"/>
        <w:tblW w:w="10008" w:type="dxa"/>
        <w:tblLayout w:type="fixed"/>
        <w:tblLook w:val="00A0"/>
      </w:tblPr>
      <w:tblGrid>
        <w:gridCol w:w="1327"/>
        <w:gridCol w:w="1474"/>
        <w:gridCol w:w="1229"/>
        <w:gridCol w:w="1311"/>
        <w:gridCol w:w="246"/>
        <w:gridCol w:w="1157"/>
        <w:gridCol w:w="204"/>
        <w:gridCol w:w="1350"/>
        <w:gridCol w:w="1710"/>
      </w:tblGrid>
      <w:tr w:rsidR="00991932" w:rsidRPr="00BC358E" w:rsidTr="00991932">
        <w:trPr>
          <w:cnfStyle w:val="100000000000"/>
          <w:trHeight w:val="281"/>
        </w:trPr>
        <w:tc>
          <w:tcPr>
            <w:cnfStyle w:val="001000000100"/>
            <w:tcW w:w="1327" w:type="dxa"/>
            <w:vMerge w:val="restart"/>
            <w:tcBorders>
              <w:bottom w:val="none" w:sz="0" w:space="0" w:color="auto"/>
            </w:tcBorders>
          </w:tcPr>
          <w:p w:rsidR="00991932" w:rsidRPr="00BC358E" w:rsidRDefault="00991932" w:rsidP="00C9225F">
            <w:pPr>
              <w:autoSpaceDE w:val="0"/>
              <w:autoSpaceDN w:val="0"/>
              <w:adjustRightInd w:val="0"/>
              <w:spacing w:line="240" w:lineRule="auto"/>
              <w:rPr>
                <w:rFonts w:ascii="Calibri" w:hAnsi="Calibri" w:cs="Calibri"/>
                <w:color w:val="000000"/>
              </w:rPr>
            </w:pPr>
          </w:p>
        </w:tc>
        <w:tc>
          <w:tcPr>
            <w:tcW w:w="4014" w:type="dxa"/>
            <w:gridSpan w:val="3"/>
            <w:tcBorders>
              <w:bottom w:val="single" w:sz="8" w:space="0" w:color="D9D9D9" w:themeColor="background1" w:themeShade="D9"/>
            </w:tcBorders>
          </w:tcPr>
          <w:p w:rsidR="00991932" w:rsidRPr="00BC358E" w:rsidRDefault="00991932" w:rsidP="00C9225F">
            <w:pPr>
              <w:autoSpaceDE w:val="0"/>
              <w:autoSpaceDN w:val="0"/>
              <w:adjustRightInd w:val="0"/>
              <w:spacing w:line="240" w:lineRule="auto"/>
              <w:jc w:val="center"/>
              <w:cnfStyle w:val="100000000000"/>
              <w:rPr>
                <w:rFonts w:ascii="Calibri" w:hAnsi="Calibri" w:cs="Calibri"/>
                <w:color w:val="000000"/>
              </w:rPr>
            </w:pPr>
            <w:r w:rsidRPr="00BC358E">
              <w:rPr>
                <w:rFonts w:ascii="Calibri" w:hAnsi="Calibri" w:cs="Calibri"/>
                <w:color w:val="000000"/>
              </w:rPr>
              <w:t>Receipts (Inflows)</w:t>
            </w:r>
          </w:p>
        </w:tc>
        <w:tc>
          <w:tcPr>
            <w:tcW w:w="1403" w:type="dxa"/>
            <w:gridSpan w:val="2"/>
            <w:tcBorders>
              <w:bottom w:val="none" w:sz="0" w:space="0" w:color="auto"/>
            </w:tcBorders>
          </w:tcPr>
          <w:p w:rsidR="00991932" w:rsidRPr="00BC358E" w:rsidRDefault="00991932" w:rsidP="00C9225F">
            <w:pPr>
              <w:autoSpaceDE w:val="0"/>
              <w:autoSpaceDN w:val="0"/>
              <w:adjustRightInd w:val="0"/>
              <w:spacing w:line="240" w:lineRule="auto"/>
              <w:jc w:val="center"/>
              <w:cnfStyle w:val="100000000000"/>
              <w:rPr>
                <w:rFonts w:ascii="Calibri" w:hAnsi="Calibri" w:cs="Calibri"/>
                <w:color w:val="000000"/>
              </w:rPr>
            </w:pPr>
          </w:p>
        </w:tc>
        <w:tc>
          <w:tcPr>
            <w:tcW w:w="3264" w:type="dxa"/>
            <w:gridSpan w:val="3"/>
            <w:tcBorders>
              <w:bottom w:val="single" w:sz="8" w:space="0" w:color="D9D9D9" w:themeColor="background1" w:themeShade="D9"/>
            </w:tcBorders>
          </w:tcPr>
          <w:p w:rsidR="00991932" w:rsidRPr="00BC358E" w:rsidRDefault="00991932" w:rsidP="00C9225F">
            <w:pPr>
              <w:autoSpaceDE w:val="0"/>
              <w:autoSpaceDN w:val="0"/>
              <w:adjustRightInd w:val="0"/>
              <w:spacing w:line="240" w:lineRule="auto"/>
              <w:jc w:val="center"/>
              <w:cnfStyle w:val="100000000000"/>
              <w:rPr>
                <w:rFonts w:ascii="Calibri" w:hAnsi="Calibri" w:cs="Calibri"/>
                <w:color w:val="000000"/>
              </w:rPr>
            </w:pPr>
            <w:r w:rsidRPr="00BC358E">
              <w:rPr>
                <w:rFonts w:ascii="Calibri" w:hAnsi="Calibri" w:cs="Calibri"/>
                <w:color w:val="000000"/>
              </w:rPr>
              <w:t>Deliveries (Outflows)</w:t>
            </w:r>
          </w:p>
        </w:tc>
      </w:tr>
      <w:tr w:rsidR="00991932" w:rsidRPr="00BC358E" w:rsidTr="00991932">
        <w:trPr>
          <w:cnfStyle w:val="000000100000"/>
          <w:trHeight w:val="567"/>
        </w:trPr>
        <w:tc>
          <w:tcPr>
            <w:cnfStyle w:val="001000000000"/>
            <w:tcW w:w="1327" w:type="dxa"/>
            <w:vMerge/>
            <w:tcBorders>
              <w:bottom w:val="single" w:sz="12" w:space="0" w:color="0096D7" w:themeColor="accent1"/>
            </w:tcBorders>
          </w:tcPr>
          <w:p w:rsidR="00991932" w:rsidRPr="00BC358E" w:rsidRDefault="00991932" w:rsidP="00C9225F">
            <w:pPr>
              <w:autoSpaceDE w:val="0"/>
              <w:autoSpaceDN w:val="0"/>
              <w:adjustRightInd w:val="0"/>
              <w:spacing w:line="240" w:lineRule="auto"/>
              <w:jc w:val="right"/>
              <w:rPr>
                <w:rFonts w:ascii="Calibri" w:hAnsi="Calibri" w:cs="Calibri"/>
                <w:color w:val="000000"/>
              </w:rPr>
            </w:pPr>
          </w:p>
        </w:tc>
        <w:tc>
          <w:tcPr>
            <w:tcW w:w="1474" w:type="dxa"/>
            <w:tcBorders>
              <w:top w:val="single" w:sz="8" w:space="0" w:color="D9D9D9" w:themeColor="background1" w:themeShade="D9"/>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r w:rsidRPr="00C9225F">
              <w:rPr>
                <w:rFonts w:ascii="Calibri" w:hAnsi="Calibri" w:cs="Calibri"/>
                <w:b/>
                <w:color w:val="000000"/>
              </w:rPr>
              <w:t>Pre-Storm</w:t>
            </w:r>
          </w:p>
        </w:tc>
        <w:tc>
          <w:tcPr>
            <w:tcW w:w="1229" w:type="dxa"/>
            <w:tcBorders>
              <w:top w:val="single" w:sz="8" w:space="0" w:color="D9D9D9" w:themeColor="background1" w:themeShade="D9"/>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r w:rsidRPr="00C9225F">
              <w:rPr>
                <w:rFonts w:ascii="Calibri" w:hAnsi="Calibri" w:cs="Calibri"/>
                <w:b/>
                <w:color w:val="000000"/>
              </w:rPr>
              <w:t>Post-Storm Nov 7-13 Average</w:t>
            </w:r>
          </w:p>
        </w:tc>
        <w:tc>
          <w:tcPr>
            <w:tcW w:w="1311" w:type="dxa"/>
            <w:tcBorders>
              <w:top w:val="single" w:sz="8" w:space="0" w:color="D9D9D9" w:themeColor="background1" w:themeShade="D9"/>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r w:rsidRPr="00C9225F">
              <w:rPr>
                <w:rFonts w:ascii="Calibri" w:hAnsi="Calibri" w:cs="Calibri"/>
                <w:b/>
                <w:color w:val="000000"/>
              </w:rPr>
              <w:t>Post-Storm Percent of Pre-Storm</w:t>
            </w:r>
          </w:p>
        </w:tc>
        <w:tc>
          <w:tcPr>
            <w:tcW w:w="246" w:type="dxa"/>
            <w:tcBorders>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p>
        </w:tc>
        <w:tc>
          <w:tcPr>
            <w:tcW w:w="1361" w:type="dxa"/>
            <w:gridSpan w:val="2"/>
            <w:tcBorders>
              <w:top w:val="single" w:sz="8" w:space="0" w:color="D9D9D9" w:themeColor="background1" w:themeShade="D9"/>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r w:rsidRPr="00C9225F">
              <w:rPr>
                <w:rFonts w:ascii="Calibri" w:hAnsi="Calibri" w:cs="Calibri"/>
                <w:b/>
                <w:color w:val="000000"/>
              </w:rPr>
              <w:t>Pre-Storm</w:t>
            </w:r>
          </w:p>
        </w:tc>
        <w:tc>
          <w:tcPr>
            <w:tcW w:w="1350" w:type="dxa"/>
            <w:tcBorders>
              <w:top w:val="single" w:sz="8" w:space="0" w:color="D9D9D9" w:themeColor="background1" w:themeShade="D9"/>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r w:rsidRPr="00C9225F">
              <w:rPr>
                <w:rFonts w:ascii="Calibri" w:hAnsi="Calibri" w:cs="Calibri"/>
                <w:b/>
                <w:color w:val="000000"/>
              </w:rPr>
              <w:t>Post-Storm Nov 7-13 Average</w:t>
            </w:r>
          </w:p>
        </w:tc>
        <w:tc>
          <w:tcPr>
            <w:tcW w:w="1710" w:type="dxa"/>
            <w:tcBorders>
              <w:top w:val="single" w:sz="8" w:space="0" w:color="D9D9D9" w:themeColor="background1" w:themeShade="D9"/>
              <w:bottom w:val="single" w:sz="12" w:space="0" w:color="0096D7" w:themeColor="accent1"/>
            </w:tcBorders>
          </w:tcPr>
          <w:p w:rsidR="00991932" w:rsidRPr="00C9225F" w:rsidRDefault="00991932" w:rsidP="00C9225F">
            <w:pPr>
              <w:autoSpaceDE w:val="0"/>
              <w:autoSpaceDN w:val="0"/>
              <w:adjustRightInd w:val="0"/>
              <w:spacing w:line="240" w:lineRule="auto"/>
              <w:jc w:val="center"/>
              <w:cnfStyle w:val="000000100000"/>
              <w:rPr>
                <w:rFonts w:ascii="Calibri" w:hAnsi="Calibri" w:cs="Calibri"/>
                <w:b/>
                <w:color w:val="000000"/>
              </w:rPr>
            </w:pPr>
            <w:r w:rsidRPr="00C9225F">
              <w:rPr>
                <w:rFonts w:ascii="Calibri" w:hAnsi="Calibri" w:cs="Calibri"/>
                <w:b/>
                <w:color w:val="000000"/>
              </w:rPr>
              <w:t>Post-Storm Percent of Pre-Storm</w:t>
            </w:r>
          </w:p>
        </w:tc>
      </w:tr>
      <w:tr w:rsidR="00991932" w:rsidRPr="00BC358E" w:rsidTr="00991932">
        <w:trPr>
          <w:cnfStyle w:val="000000010000"/>
          <w:trHeight w:val="296"/>
        </w:trPr>
        <w:tc>
          <w:tcPr>
            <w:cnfStyle w:val="001000000000"/>
            <w:tcW w:w="1327" w:type="dxa"/>
            <w:tcBorders>
              <w:top w:val="single" w:sz="12" w:space="0" w:color="0096D7" w:themeColor="accent1"/>
            </w:tcBorders>
          </w:tcPr>
          <w:p w:rsidR="00991932" w:rsidRPr="00BC358E" w:rsidRDefault="00991932" w:rsidP="00C9225F">
            <w:pPr>
              <w:autoSpaceDE w:val="0"/>
              <w:autoSpaceDN w:val="0"/>
              <w:adjustRightInd w:val="0"/>
              <w:spacing w:line="240" w:lineRule="auto"/>
              <w:rPr>
                <w:rFonts w:ascii="Calibri" w:hAnsi="Calibri" w:cs="Calibri"/>
                <w:color w:val="000000"/>
              </w:rPr>
            </w:pPr>
            <w:r w:rsidRPr="00BC358E">
              <w:rPr>
                <w:rFonts w:ascii="Calibri" w:hAnsi="Calibri" w:cs="Calibri"/>
                <w:color w:val="000000"/>
              </w:rPr>
              <w:t>Tanker/Barge</w:t>
            </w:r>
          </w:p>
        </w:tc>
        <w:tc>
          <w:tcPr>
            <w:tcW w:w="1474" w:type="dxa"/>
            <w:tcBorders>
              <w:top w:val="single" w:sz="12" w:space="0" w:color="0096D7" w:themeColor="accent1"/>
            </w:tcBorders>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523</w:t>
            </w:r>
          </w:p>
        </w:tc>
        <w:tc>
          <w:tcPr>
            <w:tcW w:w="1229" w:type="dxa"/>
            <w:tcBorders>
              <w:top w:val="single" w:sz="12" w:space="0" w:color="0096D7" w:themeColor="accent1"/>
            </w:tcBorders>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307</w:t>
            </w:r>
          </w:p>
        </w:tc>
        <w:tc>
          <w:tcPr>
            <w:tcW w:w="1311" w:type="dxa"/>
            <w:tcBorders>
              <w:top w:val="single" w:sz="12" w:space="0" w:color="0096D7" w:themeColor="accent1"/>
            </w:tcBorders>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59%</w:t>
            </w:r>
          </w:p>
        </w:tc>
        <w:tc>
          <w:tcPr>
            <w:tcW w:w="246" w:type="dxa"/>
            <w:tcBorders>
              <w:top w:val="single" w:sz="12" w:space="0" w:color="0096D7" w:themeColor="accent1"/>
            </w:tcBorders>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p>
        </w:tc>
        <w:tc>
          <w:tcPr>
            <w:tcW w:w="1361" w:type="dxa"/>
            <w:gridSpan w:val="2"/>
            <w:tcBorders>
              <w:top w:val="single" w:sz="12" w:space="0" w:color="0096D7" w:themeColor="accent1"/>
            </w:tcBorders>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563</w:t>
            </w:r>
          </w:p>
        </w:tc>
        <w:tc>
          <w:tcPr>
            <w:tcW w:w="1350" w:type="dxa"/>
            <w:tcBorders>
              <w:top w:val="single" w:sz="12" w:space="0" w:color="0096D7" w:themeColor="accent1"/>
            </w:tcBorders>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253</w:t>
            </w:r>
          </w:p>
        </w:tc>
        <w:tc>
          <w:tcPr>
            <w:tcW w:w="1710" w:type="dxa"/>
            <w:tcBorders>
              <w:top w:val="single" w:sz="12" w:space="0" w:color="0096D7" w:themeColor="accent1"/>
            </w:tcBorders>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45%</w:t>
            </w:r>
          </w:p>
        </w:tc>
      </w:tr>
      <w:tr w:rsidR="00991932" w:rsidRPr="00BC358E" w:rsidTr="00991932">
        <w:trPr>
          <w:cnfStyle w:val="000000100000"/>
          <w:trHeight w:val="281"/>
        </w:trPr>
        <w:tc>
          <w:tcPr>
            <w:cnfStyle w:val="001000000000"/>
            <w:tcW w:w="1327" w:type="dxa"/>
          </w:tcPr>
          <w:p w:rsidR="00991932" w:rsidRPr="00BC358E" w:rsidRDefault="00991932" w:rsidP="00C9225F">
            <w:pPr>
              <w:autoSpaceDE w:val="0"/>
              <w:autoSpaceDN w:val="0"/>
              <w:adjustRightInd w:val="0"/>
              <w:spacing w:line="240" w:lineRule="auto"/>
              <w:rPr>
                <w:rFonts w:ascii="Calibri" w:hAnsi="Calibri" w:cs="Calibri"/>
                <w:color w:val="000000"/>
              </w:rPr>
            </w:pPr>
            <w:r w:rsidRPr="00BC358E">
              <w:rPr>
                <w:rFonts w:ascii="Calibri" w:hAnsi="Calibri" w:cs="Calibri"/>
                <w:color w:val="000000"/>
              </w:rPr>
              <w:t>Pipeline</w:t>
            </w:r>
          </w:p>
        </w:tc>
        <w:tc>
          <w:tcPr>
            <w:tcW w:w="1474" w:type="dxa"/>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r w:rsidRPr="00BC358E">
              <w:rPr>
                <w:rFonts w:ascii="Calibri" w:hAnsi="Calibri" w:cs="Calibri"/>
                <w:color w:val="000000"/>
              </w:rPr>
              <w:t>753</w:t>
            </w:r>
          </w:p>
        </w:tc>
        <w:tc>
          <w:tcPr>
            <w:tcW w:w="1229" w:type="dxa"/>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r w:rsidRPr="00BC358E">
              <w:rPr>
                <w:rFonts w:ascii="Calibri" w:hAnsi="Calibri" w:cs="Calibri"/>
                <w:color w:val="000000"/>
              </w:rPr>
              <w:t>573</w:t>
            </w:r>
          </w:p>
        </w:tc>
        <w:tc>
          <w:tcPr>
            <w:tcW w:w="1311" w:type="dxa"/>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r w:rsidRPr="00BC358E">
              <w:rPr>
                <w:rFonts w:ascii="Calibri" w:hAnsi="Calibri" w:cs="Calibri"/>
                <w:color w:val="000000"/>
              </w:rPr>
              <w:t>76%</w:t>
            </w:r>
          </w:p>
        </w:tc>
        <w:tc>
          <w:tcPr>
            <w:tcW w:w="246" w:type="dxa"/>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p>
        </w:tc>
        <w:tc>
          <w:tcPr>
            <w:tcW w:w="1361" w:type="dxa"/>
            <w:gridSpan w:val="2"/>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r w:rsidRPr="00BC358E">
              <w:rPr>
                <w:rFonts w:ascii="Calibri" w:hAnsi="Calibri" w:cs="Calibri"/>
                <w:color w:val="000000"/>
              </w:rPr>
              <w:t>346</w:t>
            </w:r>
          </w:p>
        </w:tc>
        <w:tc>
          <w:tcPr>
            <w:tcW w:w="1350" w:type="dxa"/>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r w:rsidRPr="00BC358E">
              <w:rPr>
                <w:rFonts w:ascii="Calibri" w:hAnsi="Calibri" w:cs="Calibri"/>
                <w:color w:val="000000"/>
              </w:rPr>
              <w:t>179</w:t>
            </w:r>
          </w:p>
        </w:tc>
        <w:tc>
          <w:tcPr>
            <w:tcW w:w="1710" w:type="dxa"/>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r w:rsidRPr="00BC358E">
              <w:rPr>
                <w:rFonts w:ascii="Calibri" w:hAnsi="Calibri" w:cs="Calibri"/>
                <w:color w:val="000000"/>
              </w:rPr>
              <w:t>52%</w:t>
            </w:r>
          </w:p>
        </w:tc>
      </w:tr>
      <w:tr w:rsidR="00991932" w:rsidRPr="00BC358E" w:rsidTr="00991932">
        <w:trPr>
          <w:cnfStyle w:val="000000010000"/>
          <w:trHeight w:val="265"/>
        </w:trPr>
        <w:tc>
          <w:tcPr>
            <w:cnfStyle w:val="001000000000"/>
            <w:tcW w:w="1327" w:type="dxa"/>
          </w:tcPr>
          <w:p w:rsidR="00991932" w:rsidRPr="00BC358E" w:rsidRDefault="00991932" w:rsidP="00C9225F">
            <w:pPr>
              <w:autoSpaceDE w:val="0"/>
              <w:autoSpaceDN w:val="0"/>
              <w:adjustRightInd w:val="0"/>
              <w:spacing w:line="240" w:lineRule="auto"/>
              <w:rPr>
                <w:rFonts w:ascii="Calibri" w:hAnsi="Calibri" w:cs="Calibri"/>
                <w:color w:val="000000"/>
              </w:rPr>
            </w:pPr>
            <w:r w:rsidRPr="00BC358E">
              <w:rPr>
                <w:rFonts w:ascii="Calibri" w:hAnsi="Calibri" w:cs="Calibri"/>
                <w:color w:val="000000"/>
              </w:rPr>
              <w:t>Truck</w:t>
            </w:r>
          </w:p>
        </w:tc>
        <w:tc>
          <w:tcPr>
            <w:tcW w:w="1474" w:type="dxa"/>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12</w:t>
            </w:r>
          </w:p>
        </w:tc>
        <w:tc>
          <w:tcPr>
            <w:tcW w:w="1229" w:type="dxa"/>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7</w:t>
            </w:r>
          </w:p>
        </w:tc>
        <w:tc>
          <w:tcPr>
            <w:tcW w:w="1311" w:type="dxa"/>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58%</w:t>
            </w:r>
          </w:p>
        </w:tc>
        <w:tc>
          <w:tcPr>
            <w:tcW w:w="246" w:type="dxa"/>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p>
        </w:tc>
        <w:tc>
          <w:tcPr>
            <w:tcW w:w="1361" w:type="dxa"/>
            <w:gridSpan w:val="2"/>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438</w:t>
            </w:r>
          </w:p>
        </w:tc>
        <w:tc>
          <w:tcPr>
            <w:tcW w:w="1350" w:type="dxa"/>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387</w:t>
            </w:r>
          </w:p>
        </w:tc>
        <w:tc>
          <w:tcPr>
            <w:tcW w:w="1710" w:type="dxa"/>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88%</w:t>
            </w:r>
          </w:p>
        </w:tc>
      </w:tr>
      <w:tr w:rsidR="00991932" w:rsidRPr="00BC358E" w:rsidTr="00991932">
        <w:trPr>
          <w:cnfStyle w:val="000000100000"/>
          <w:trHeight w:val="281"/>
        </w:trPr>
        <w:tc>
          <w:tcPr>
            <w:cnfStyle w:val="001000000000"/>
            <w:tcW w:w="1327" w:type="dxa"/>
          </w:tcPr>
          <w:p w:rsidR="00991932" w:rsidRPr="00BC358E" w:rsidRDefault="00991932" w:rsidP="00C9225F">
            <w:pPr>
              <w:autoSpaceDE w:val="0"/>
              <w:autoSpaceDN w:val="0"/>
              <w:adjustRightInd w:val="0"/>
              <w:spacing w:line="240" w:lineRule="auto"/>
              <w:rPr>
                <w:rFonts w:ascii="Calibri" w:hAnsi="Calibri" w:cs="Calibri"/>
                <w:color w:val="000000"/>
              </w:rPr>
            </w:pPr>
            <w:r w:rsidRPr="00BC358E">
              <w:rPr>
                <w:rFonts w:ascii="Calibri" w:hAnsi="Calibri" w:cs="Calibri"/>
                <w:color w:val="000000"/>
              </w:rPr>
              <w:t>Other</w:t>
            </w:r>
          </w:p>
        </w:tc>
        <w:tc>
          <w:tcPr>
            <w:tcW w:w="1474" w:type="dxa"/>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r w:rsidRPr="00BC358E">
              <w:rPr>
                <w:rFonts w:ascii="Calibri" w:hAnsi="Calibri" w:cs="Calibri"/>
                <w:color w:val="000000"/>
              </w:rPr>
              <w:t>131</w:t>
            </w:r>
          </w:p>
        </w:tc>
        <w:tc>
          <w:tcPr>
            <w:tcW w:w="1229" w:type="dxa"/>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r w:rsidRPr="00BC358E">
              <w:rPr>
                <w:rFonts w:ascii="Calibri" w:hAnsi="Calibri" w:cs="Calibri"/>
                <w:color w:val="000000"/>
              </w:rPr>
              <w:t>31</w:t>
            </w:r>
          </w:p>
        </w:tc>
        <w:tc>
          <w:tcPr>
            <w:tcW w:w="1311" w:type="dxa"/>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r w:rsidRPr="00BC358E">
              <w:rPr>
                <w:rFonts w:ascii="Calibri" w:hAnsi="Calibri" w:cs="Calibri"/>
                <w:color w:val="000000"/>
              </w:rPr>
              <w:t>24%</w:t>
            </w:r>
          </w:p>
        </w:tc>
        <w:tc>
          <w:tcPr>
            <w:tcW w:w="246" w:type="dxa"/>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p>
        </w:tc>
        <w:tc>
          <w:tcPr>
            <w:tcW w:w="1361" w:type="dxa"/>
            <w:gridSpan w:val="2"/>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r w:rsidRPr="00BC358E">
              <w:rPr>
                <w:rFonts w:ascii="Calibri" w:hAnsi="Calibri" w:cs="Calibri"/>
                <w:color w:val="000000"/>
              </w:rPr>
              <w:t>0</w:t>
            </w:r>
          </w:p>
        </w:tc>
        <w:tc>
          <w:tcPr>
            <w:tcW w:w="1350" w:type="dxa"/>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r w:rsidRPr="00BC358E">
              <w:rPr>
                <w:rFonts w:ascii="Calibri" w:hAnsi="Calibri" w:cs="Calibri"/>
                <w:color w:val="000000"/>
              </w:rPr>
              <w:t>0</w:t>
            </w:r>
          </w:p>
        </w:tc>
        <w:tc>
          <w:tcPr>
            <w:tcW w:w="1710" w:type="dxa"/>
          </w:tcPr>
          <w:p w:rsidR="00991932" w:rsidRPr="00BC358E" w:rsidRDefault="00991932" w:rsidP="00C9225F">
            <w:pPr>
              <w:autoSpaceDE w:val="0"/>
              <w:autoSpaceDN w:val="0"/>
              <w:adjustRightInd w:val="0"/>
              <w:spacing w:line="240" w:lineRule="auto"/>
              <w:cnfStyle w:val="000000100000"/>
              <w:rPr>
                <w:rFonts w:ascii="Calibri" w:hAnsi="Calibri" w:cs="Calibri"/>
                <w:color w:val="000000"/>
              </w:rPr>
            </w:pPr>
            <w:r w:rsidRPr="00BC358E">
              <w:rPr>
                <w:rFonts w:ascii="Calibri" w:hAnsi="Calibri" w:cs="Calibri"/>
                <w:color w:val="000000"/>
              </w:rPr>
              <w:t>0%</w:t>
            </w:r>
          </w:p>
        </w:tc>
      </w:tr>
      <w:tr w:rsidR="00991932" w:rsidRPr="00BC358E" w:rsidTr="00991932">
        <w:trPr>
          <w:cnfStyle w:val="000000010000"/>
          <w:trHeight w:val="278"/>
        </w:trPr>
        <w:tc>
          <w:tcPr>
            <w:cnfStyle w:val="001000000000"/>
            <w:tcW w:w="1327" w:type="dxa"/>
            <w:tcBorders>
              <w:top w:val="dashed" w:sz="4" w:space="0" w:color="BFBFBF" w:themeColor="background1" w:themeShade="BF"/>
              <w:bottom w:val="single" w:sz="8" w:space="0" w:color="0096D7" w:themeColor="accent1"/>
            </w:tcBorders>
          </w:tcPr>
          <w:p w:rsidR="00991932" w:rsidRPr="00BC358E" w:rsidRDefault="00991932" w:rsidP="00C9225F">
            <w:pPr>
              <w:autoSpaceDE w:val="0"/>
              <w:autoSpaceDN w:val="0"/>
              <w:adjustRightInd w:val="0"/>
              <w:spacing w:line="240" w:lineRule="auto"/>
              <w:rPr>
                <w:rFonts w:ascii="Calibri" w:hAnsi="Calibri" w:cs="Calibri"/>
                <w:color w:val="000000"/>
              </w:rPr>
            </w:pPr>
            <w:r w:rsidRPr="00BC358E">
              <w:rPr>
                <w:rFonts w:ascii="Calibri" w:hAnsi="Calibri" w:cs="Calibri"/>
                <w:color w:val="000000"/>
              </w:rPr>
              <w:t>Total</w:t>
            </w:r>
          </w:p>
        </w:tc>
        <w:tc>
          <w:tcPr>
            <w:tcW w:w="1474" w:type="dxa"/>
            <w:tcBorders>
              <w:top w:val="dashed" w:sz="4" w:space="0" w:color="BFBFBF" w:themeColor="background1" w:themeShade="BF"/>
              <w:bottom w:val="single" w:sz="8" w:space="0" w:color="0096D7" w:themeColor="accent1"/>
            </w:tcBorders>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Pr>
                <w:rFonts w:ascii="Calibri" w:hAnsi="Calibri" w:cs="Calibri"/>
                <w:color w:val="000000"/>
              </w:rPr>
              <w:t xml:space="preserve">            </w:t>
            </w:r>
            <w:r w:rsidRPr="00BC358E">
              <w:rPr>
                <w:rFonts w:ascii="Calibri" w:hAnsi="Calibri" w:cs="Calibri"/>
                <w:color w:val="000000"/>
              </w:rPr>
              <w:t xml:space="preserve">1,419 </w:t>
            </w:r>
          </w:p>
        </w:tc>
        <w:tc>
          <w:tcPr>
            <w:tcW w:w="1229" w:type="dxa"/>
            <w:tcBorders>
              <w:top w:val="dashed" w:sz="4" w:space="0" w:color="BFBFBF" w:themeColor="background1" w:themeShade="BF"/>
              <w:bottom w:val="single" w:sz="8" w:space="0" w:color="0096D7" w:themeColor="accent1"/>
            </w:tcBorders>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Pr>
                <w:rFonts w:ascii="Calibri" w:hAnsi="Calibri" w:cs="Calibri"/>
                <w:color w:val="000000"/>
              </w:rPr>
              <w:t xml:space="preserve">              </w:t>
            </w:r>
            <w:r w:rsidRPr="00BC358E">
              <w:rPr>
                <w:rFonts w:ascii="Calibri" w:hAnsi="Calibri" w:cs="Calibri"/>
                <w:color w:val="000000"/>
              </w:rPr>
              <w:t xml:space="preserve">918 </w:t>
            </w:r>
          </w:p>
        </w:tc>
        <w:tc>
          <w:tcPr>
            <w:tcW w:w="1311" w:type="dxa"/>
            <w:tcBorders>
              <w:top w:val="dashed" w:sz="4" w:space="0" w:color="BFBFBF" w:themeColor="background1" w:themeShade="BF"/>
              <w:bottom w:val="single" w:sz="8" w:space="0" w:color="0096D7" w:themeColor="accent1"/>
            </w:tcBorders>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65%</w:t>
            </w:r>
          </w:p>
        </w:tc>
        <w:tc>
          <w:tcPr>
            <w:tcW w:w="246" w:type="dxa"/>
            <w:tcBorders>
              <w:top w:val="dashed" w:sz="4" w:space="0" w:color="BFBFBF" w:themeColor="background1" w:themeShade="BF"/>
              <w:bottom w:val="single" w:sz="8" w:space="0" w:color="0096D7" w:themeColor="accent1"/>
            </w:tcBorders>
          </w:tcPr>
          <w:p w:rsidR="00991932" w:rsidRDefault="00991932" w:rsidP="00C9225F">
            <w:pPr>
              <w:autoSpaceDE w:val="0"/>
              <w:autoSpaceDN w:val="0"/>
              <w:adjustRightInd w:val="0"/>
              <w:spacing w:line="240" w:lineRule="auto"/>
              <w:cnfStyle w:val="000000010000"/>
              <w:rPr>
                <w:rFonts w:ascii="Calibri" w:hAnsi="Calibri" w:cs="Calibri"/>
                <w:color w:val="000000"/>
              </w:rPr>
            </w:pPr>
          </w:p>
        </w:tc>
        <w:tc>
          <w:tcPr>
            <w:tcW w:w="1361" w:type="dxa"/>
            <w:gridSpan w:val="2"/>
            <w:tcBorders>
              <w:top w:val="dashed" w:sz="4" w:space="0" w:color="BFBFBF" w:themeColor="background1" w:themeShade="BF"/>
              <w:bottom w:val="single" w:sz="8" w:space="0" w:color="0096D7" w:themeColor="accent1"/>
            </w:tcBorders>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Pr>
                <w:rFonts w:ascii="Calibri" w:hAnsi="Calibri" w:cs="Calibri"/>
                <w:color w:val="000000"/>
              </w:rPr>
              <w:t xml:space="preserve">            </w:t>
            </w:r>
            <w:r w:rsidRPr="00BC358E">
              <w:rPr>
                <w:rFonts w:ascii="Calibri" w:hAnsi="Calibri" w:cs="Calibri"/>
                <w:color w:val="000000"/>
              </w:rPr>
              <w:t xml:space="preserve">1,347 </w:t>
            </w:r>
          </w:p>
        </w:tc>
        <w:tc>
          <w:tcPr>
            <w:tcW w:w="1350" w:type="dxa"/>
            <w:tcBorders>
              <w:top w:val="dashed" w:sz="4" w:space="0" w:color="BFBFBF" w:themeColor="background1" w:themeShade="BF"/>
              <w:bottom w:val="single" w:sz="8" w:space="0" w:color="0096D7" w:themeColor="accent1"/>
            </w:tcBorders>
          </w:tcPr>
          <w:p w:rsidR="00991932" w:rsidRPr="00BC358E" w:rsidRDefault="00991932" w:rsidP="00991932">
            <w:pPr>
              <w:autoSpaceDE w:val="0"/>
              <w:autoSpaceDN w:val="0"/>
              <w:adjustRightInd w:val="0"/>
              <w:spacing w:line="240" w:lineRule="auto"/>
              <w:cnfStyle w:val="000000010000"/>
              <w:rPr>
                <w:rFonts w:ascii="Calibri" w:hAnsi="Calibri" w:cs="Calibri"/>
                <w:color w:val="000000"/>
              </w:rPr>
            </w:pPr>
            <w:r>
              <w:rPr>
                <w:rFonts w:ascii="Calibri" w:hAnsi="Calibri" w:cs="Calibri"/>
                <w:color w:val="000000"/>
              </w:rPr>
              <w:t xml:space="preserve">              </w:t>
            </w:r>
            <w:r w:rsidRPr="00BC358E">
              <w:rPr>
                <w:rFonts w:ascii="Calibri" w:hAnsi="Calibri" w:cs="Calibri"/>
                <w:color w:val="000000"/>
              </w:rPr>
              <w:t xml:space="preserve">819 </w:t>
            </w:r>
          </w:p>
        </w:tc>
        <w:tc>
          <w:tcPr>
            <w:tcW w:w="1710" w:type="dxa"/>
            <w:tcBorders>
              <w:top w:val="dashed" w:sz="4" w:space="0" w:color="BFBFBF" w:themeColor="background1" w:themeShade="BF"/>
              <w:bottom w:val="single" w:sz="8" w:space="0" w:color="0096D7" w:themeColor="accent1"/>
            </w:tcBorders>
          </w:tcPr>
          <w:p w:rsidR="00991932" w:rsidRPr="00BC358E" w:rsidRDefault="00991932" w:rsidP="00C9225F">
            <w:pPr>
              <w:autoSpaceDE w:val="0"/>
              <w:autoSpaceDN w:val="0"/>
              <w:adjustRightInd w:val="0"/>
              <w:spacing w:line="240" w:lineRule="auto"/>
              <w:cnfStyle w:val="000000010000"/>
              <w:rPr>
                <w:rFonts w:ascii="Calibri" w:hAnsi="Calibri" w:cs="Calibri"/>
                <w:color w:val="000000"/>
              </w:rPr>
            </w:pPr>
            <w:r w:rsidRPr="00BC358E">
              <w:rPr>
                <w:rFonts w:ascii="Calibri" w:hAnsi="Calibri" w:cs="Calibri"/>
                <w:color w:val="000000"/>
              </w:rPr>
              <w:t>61%</w:t>
            </w:r>
          </w:p>
        </w:tc>
      </w:tr>
    </w:tbl>
    <w:p w:rsidR="00C9225F" w:rsidRDefault="00C9225F" w:rsidP="00C9225F">
      <w:pPr>
        <w:pStyle w:val="FootnoteText"/>
      </w:pPr>
      <w:r>
        <w:br w:type="page"/>
      </w:r>
    </w:p>
    <w:p w:rsidR="003A7959" w:rsidRDefault="003A7959" w:rsidP="003A7959">
      <w:r>
        <w:lastRenderedPageBreak/>
        <w:t>The tables show about 1.4 million barrels of product movement through these terminals, but that number may include double counting of movements between some of the terminals.  The data are very preliminary, and represent terminal operators’ best information at the time.  However, both the pre-storm and post-storm data were collected using the same methodology and</w:t>
      </w:r>
      <w:r w:rsidR="0079430B">
        <w:t>,</w:t>
      </w:r>
      <w:r>
        <w:t xml:space="preserve"> as a result</w:t>
      </w:r>
      <w:r w:rsidR="0079430B">
        <w:t>,</w:t>
      </w:r>
      <w:r>
        <w:t xml:space="preserve"> the data sets should be comparable and indicative of the change in product flows.   </w:t>
      </w:r>
    </w:p>
    <w:p w:rsidR="003A7959" w:rsidRDefault="003A7959" w:rsidP="003A7959">
      <w:r>
        <w:t xml:space="preserve">It is important to point out areas normally served by the NYH terminals were also receiving some supplies through more distant terminals as the industry pursued workarounds to meet consumer needs to the best of their ability.  For this reason, the difference between the pre-storm and post-storm outflows from the NYH terminals is likely to overstate the impact on total product supplies available to consumers usually supplied through those terminals. </w:t>
      </w:r>
    </w:p>
    <w:p w:rsidR="003A7959" w:rsidRDefault="003A7959" w:rsidP="003A7959">
      <w:r>
        <w:t xml:space="preserve">The data in Table 1 indicate some significant declines in ability to move product through the NYH hub.  Gasoline is the major product moving through these terminals.  After the storm, the terminals were receiving only 63% of the gasoline that they had been receiving before the storm, but were sending out 72% of the pre-storm volumes.  Note that pre-storm gasoline outflows were less than inflows, implying inventory building of that product.  But after the storm, outflows and inflows were fairly close.  </w:t>
      </w:r>
    </w:p>
    <w:p w:rsidR="003A7959" w:rsidRDefault="003A7959" w:rsidP="003A7959">
      <w:r>
        <w:t>Barge shipments have been most impacted by the storm.  As shown on Table 2, as of November 13, barge shipments of all products were running at 45% of pre-storm levels.  Barge shipments of gasoline were running at 54% of pre-storm levels and distillate shipments were even lower, only 46% of pre-storm barge shipments.  These data are indicative of the storm damage to dock facilities and time required to repair the facilities and return them to normal service.</w:t>
      </w:r>
    </w:p>
    <w:p w:rsidR="003A7959" w:rsidRDefault="003A7959" w:rsidP="003A7959">
      <w:r>
        <w:t xml:space="preserve">EIA also collected data from tanker truck loading facilities (truck racks) at the terminals in the New York Harbor area.  These truck racks supply gasoline and distillate that is delivered to retail outlets and distributors in the New York metropolitan area.  By November 13, truck rack loadings of gasoline at these terminals had reached 90% of pre-storm levels and distillate loadings were 104% of pre-storm levels. </w:t>
      </w:r>
    </w:p>
    <w:p w:rsidR="00C9225F" w:rsidRDefault="003A7959" w:rsidP="003A7959">
      <w:r>
        <w:t>Some companies also reported inventories both before the hurricane and as of November 13.  By November 13, inventory levels at the reporting terminals had returned to normal levels.</w:t>
      </w:r>
    </w:p>
    <w:sectPr w:rsidR="00C9225F" w:rsidSect="00B52841">
      <w:headerReference w:type="even" r:id="rId14"/>
      <w:headerReference w:type="default" r:id="rId15"/>
      <w:footerReference w:type="even" r:id="rId16"/>
      <w:headerReference w:type="firs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25F" w:rsidRDefault="00C9225F" w:rsidP="00536CE1">
      <w:pPr>
        <w:spacing w:after="0" w:line="240" w:lineRule="auto"/>
      </w:pPr>
      <w:r>
        <w:separator/>
      </w:r>
    </w:p>
    <w:p w:rsidR="00C9225F" w:rsidRDefault="00C9225F"/>
    <w:p w:rsidR="00C9225F" w:rsidRDefault="00C9225F"/>
  </w:endnote>
  <w:endnote w:type="continuationSeparator" w:id="0">
    <w:p w:rsidR="00C9225F" w:rsidRDefault="00C9225F" w:rsidP="00536CE1">
      <w:pPr>
        <w:spacing w:after="0" w:line="240" w:lineRule="auto"/>
      </w:pPr>
      <w:r>
        <w:continuationSeparator/>
      </w:r>
    </w:p>
    <w:p w:rsidR="00C9225F" w:rsidRDefault="00C9225F"/>
    <w:p w:rsidR="00C9225F" w:rsidRDefault="00C9225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25F" w:rsidRPr="001F3A8F" w:rsidRDefault="00C9225F" w:rsidP="001F3A8F">
    <w:pPr>
      <w:pStyle w:val="Footer"/>
    </w:pPr>
    <w:r w:rsidRPr="00CB180D">
      <w:t xml:space="preserve">U.S. Energy Information Administration   | </w:t>
    </w:r>
    <w:r>
      <w:t>New York/New Jersey Intra Harbor Petroleum Supplies Following Hurricane Sandy: Summary of Impacts Through November 13, 2012</w:t>
    </w:r>
    <w:r>
      <w:tab/>
    </w:r>
    <w:fldSimple w:instr=" PAGE   \* MERGEFORMAT ">
      <w:r w:rsidR="00991932">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25F" w:rsidRDefault="004C7A2E" w:rsidP="00760677">
    <w:pPr>
      <w:pStyle w:val="Footer"/>
    </w:pPr>
    <w:sdt>
      <w:sdtPr>
        <w:id w:val="486525362"/>
        <w:docPartObj>
          <w:docPartGallery w:val="Page Numbers (Bottom of Page)"/>
          <w:docPartUnique/>
        </w:docPartObj>
      </w:sdtPr>
      <w:sdtContent>
        <w:r w:rsidR="00C9225F" w:rsidRPr="00CB180D">
          <w:t xml:space="preserve">U.S. Energy Information Administration   |   </w:t>
        </w:r>
        <w:sdt>
          <w:sdtPr>
            <w:alias w:val="Subject"/>
            <w:id w:val="486525363"/>
            <w:dataBinding w:prefixMappings="xmlns:ns0='http://purl.org/dc/elements/1.1/' xmlns:ns1='http://schemas.openxmlformats.org/package/2006/metadata/core-properties' " w:xpath="/ns1:coreProperties[1]/ns0:subject[1]" w:storeItemID="{6C3C8BC8-F283-45AE-878A-BAB7291924A1}"/>
            <w:text/>
          </w:sdtPr>
          <w:sdtContent>
            <w:r w:rsidR="00C9225F">
              <w:t xml:space="preserve">Integrating Module of the </w:t>
            </w:r>
            <w:proofErr w:type="spellStart"/>
            <w:r w:rsidR="00C9225F">
              <w:t>Natiional</w:t>
            </w:r>
            <w:proofErr w:type="spellEnd"/>
            <w:r w:rsidR="00C9225F">
              <w:t xml:space="preserve"> Energy Modeling System: Model Documentation 2012</w:t>
            </w:r>
          </w:sdtContent>
        </w:sdt>
        <w:r w:rsidR="00C9225F" w:rsidRPr="00CB180D">
          <w:tab/>
        </w:r>
      </w:sdtContent>
    </w:sdt>
    <w:r w:rsidR="00C9225F" w:rsidRPr="00760677">
      <w:t xml:space="preserve"> </w:t>
    </w:r>
    <w:fldSimple w:instr=" PAGE   \* MERGEFORMAT ">
      <w:r w:rsidR="00C9225F">
        <w:rPr>
          <w:noProof/>
        </w:rPr>
        <w:t>lxi</w:t>
      </w:r>
    </w:fldSimple>
  </w:p>
  <w:p w:rsidR="00C9225F" w:rsidRDefault="00C9225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525368"/>
      <w:docPartObj>
        <w:docPartGallery w:val="Page Numbers (Bottom of Page)"/>
        <w:docPartUnique/>
      </w:docPartObj>
    </w:sdtPr>
    <w:sdtContent>
      <w:p w:rsidR="00C9225F" w:rsidRDefault="004C7A2E" w:rsidP="00760677">
        <w:pPr>
          <w:pStyle w:val="Footer"/>
        </w:pPr>
        <w:fldSimple w:instr=" PAGE   \* MERGEFORMAT ">
          <w:r w:rsidR="00C9225F">
            <w:rPr>
              <w:noProof/>
            </w:rPr>
            <w:t>lxi</w:t>
          </w:r>
        </w:fldSimple>
        <w:r w:rsidR="00C9225F">
          <w:tab/>
          <w:t xml:space="preserve">                                                                                             </w:t>
        </w:r>
        <w:r w:rsidR="00C9225F" w:rsidRPr="00CB180D">
          <w:t>U.S. Energy Information Administration   |   Improving the Quality and Scope of EIA Data</w:t>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25F" w:rsidRDefault="004C7A2E" w:rsidP="00760677">
    <w:pPr>
      <w:pStyle w:val="Footer"/>
    </w:pPr>
    <w:sdt>
      <w:sdtPr>
        <w:id w:val="486525369"/>
        <w:docPartObj>
          <w:docPartGallery w:val="Page Numbers (Bottom of Page)"/>
          <w:docPartUnique/>
        </w:docPartObj>
      </w:sdtPr>
      <w:sdtContent>
        <w:r w:rsidR="00C9225F" w:rsidRPr="00CB180D">
          <w:t xml:space="preserve">U.S. Energy Information Administration   |   </w:t>
        </w:r>
        <w:sdt>
          <w:sdtPr>
            <w:alias w:val="Subject"/>
            <w:id w:val="486525370"/>
            <w:dataBinding w:prefixMappings="xmlns:ns0='http://purl.org/dc/elements/1.1/' xmlns:ns1='http://schemas.openxmlformats.org/package/2006/metadata/core-properties' " w:xpath="/ns1:coreProperties[1]/ns0:subject[1]" w:storeItemID="{6C3C8BC8-F283-45AE-878A-BAB7291924A1}"/>
            <w:text/>
          </w:sdtPr>
          <w:sdtContent>
            <w:r w:rsidR="00C9225F">
              <w:t xml:space="preserve">Integrating Module of the </w:t>
            </w:r>
            <w:proofErr w:type="spellStart"/>
            <w:r w:rsidR="00C9225F">
              <w:t>Natiional</w:t>
            </w:r>
            <w:proofErr w:type="spellEnd"/>
            <w:r w:rsidR="00C9225F">
              <w:t xml:space="preserve"> Energy Modeling System: Model Documentation 2012</w:t>
            </w:r>
          </w:sdtContent>
        </w:sdt>
        <w:r w:rsidR="00C9225F" w:rsidRPr="00CB180D">
          <w:tab/>
        </w:r>
      </w:sdtContent>
    </w:sdt>
    <w:r w:rsidR="00C9225F" w:rsidRPr="00760677">
      <w:t xml:space="preserve"> </w:t>
    </w:r>
    <w:fldSimple w:instr=" PAGE   \* MERGEFORMAT ">
      <w:r w:rsidR="00C9225F">
        <w:rPr>
          <w:noProof/>
        </w:rPr>
        <w:t>lxi</w:t>
      </w:r>
    </w:fldSimple>
  </w:p>
  <w:p w:rsidR="00C9225F" w:rsidRDefault="00C9225F" w:rsidP="007606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25F" w:rsidRDefault="00C9225F" w:rsidP="009C5066">
      <w:pPr>
        <w:spacing w:after="0" w:line="240" w:lineRule="auto"/>
      </w:pPr>
      <w:r>
        <w:separator/>
      </w:r>
    </w:p>
  </w:footnote>
  <w:footnote w:type="continuationSeparator" w:id="0">
    <w:p w:rsidR="00C9225F" w:rsidRDefault="00C9225F" w:rsidP="00536CE1">
      <w:pPr>
        <w:spacing w:after="0" w:line="240" w:lineRule="auto"/>
      </w:pPr>
      <w:r>
        <w:continuationSeparator/>
      </w:r>
    </w:p>
    <w:p w:rsidR="00C9225F" w:rsidRDefault="00C9225F"/>
    <w:p w:rsidR="00C9225F" w:rsidRDefault="00C9225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25F" w:rsidRDefault="00C9225F" w:rsidP="00725453">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25F" w:rsidRPr="00373208" w:rsidRDefault="00C9225F" w:rsidP="00041909">
    <w:pPr>
      <w:pStyle w:val="Header"/>
    </w:pPr>
    <w:r>
      <w:t>September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25F" w:rsidRPr="00F8298C" w:rsidRDefault="00C9225F" w:rsidP="00041909">
    <w:pPr>
      <w:pStyle w:val="Header"/>
    </w:pPr>
    <w:r>
      <w:t>November 2012</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25F" w:rsidRDefault="00C9225F" w:rsidP="00041909">
    <w:pPr>
      <w:pStyle w:val="Header"/>
    </w:pPr>
    <w:r>
      <w:t>December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2406447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F948091A"/>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5268DBE4"/>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8220A528"/>
    <w:lvl w:ilvl="0">
      <w:start w:val="1"/>
      <w:numFmt w:val="decimal"/>
      <w:pStyle w:val="ListNumber"/>
      <w:lvlText w:val="%1."/>
      <w:lvlJc w:val="left"/>
      <w:pPr>
        <w:tabs>
          <w:tab w:val="num" w:pos="360"/>
        </w:tabs>
        <w:ind w:left="360" w:hanging="360"/>
      </w:pPr>
    </w:lvl>
  </w:abstractNum>
  <w:abstractNum w:abstractNumId="4">
    <w:nsid w:val="FFFFFF89"/>
    <w:multiLevelType w:val="singleLevel"/>
    <w:tmpl w:val="56A44888"/>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1862710"/>
    <w:multiLevelType w:val="singleLevel"/>
    <w:tmpl w:val="5ABEA8F4"/>
    <w:lvl w:ilvl="0">
      <w:start w:val="1"/>
      <w:numFmt w:val="bullet"/>
      <w:lvlText w:val=""/>
      <w:lvlJc w:val="left"/>
      <w:pPr>
        <w:tabs>
          <w:tab w:val="num" w:pos="360"/>
        </w:tabs>
        <w:ind w:left="360" w:hanging="360"/>
      </w:pPr>
      <w:rPr>
        <w:rFonts w:ascii="Symbol" w:hAnsi="Symbol" w:hint="default"/>
        <w:sz w:val="24"/>
      </w:rPr>
    </w:lvl>
  </w:abstractNum>
  <w:abstractNum w:abstractNumId="6">
    <w:nsid w:val="01B47BD8"/>
    <w:multiLevelType w:val="multilevel"/>
    <w:tmpl w:val="1A406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7">
    <w:nsid w:val="069F36C6"/>
    <w:multiLevelType w:val="multilevel"/>
    <w:tmpl w:val="E258FFEA"/>
    <w:lvl w:ilvl="0">
      <w:start w:val="1"/>
      <w:numFmt w:val="bullet"/>
      <w:pStyle w:val="ListParagraph"/>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Symbol" w:hAnsi="Symbol" w:hint="default"/>
        <w:color w:val="auto"/>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color w:val="auto"/>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color w:val="auto"/>
      </w:rPr>
    </w:lvl>
  </w:abstractNum>
  <w:abstractNum w:abstractNumId="8">
    <w:nsid w:val="0BD107D3"/>
    <w:multiLevelType w:val="singleLevel"/>
    <w:tmpl w:val="5ABEA8F4"/>
    <w:lvl w:ilvl="0">
      <w:start w:val="1"/>
      <w:numFmt w:val="bullet"/>
      <w:lvlText w:val=""/>
      <w:lvlJc w:val="left"/>
      <w:pPr>
        <w:tabs>
          <w:tab w:val="num" w:pos="360"/>
        </w:tabs>
        <w:ind w:left="360" w:hanging="360"/>
      </w:pPr>
      <w:rPr>
        <w:rFonts w:ascii="Symbol" w:hAnsi="Symbol" w:hint="default"/>
        <w:sz w:val="24"/>
      </w:rPr>
    </w:lvl>
  </w:abstractNum>
  <w:abstractNum w:abstractNumId="9">
    <w:nsid w:val="12F5765B"/>
    <w:multiLevelType w:val="singleLevel"/>
    <w:tmpl w:val="5ABEA8F4"/>
    <w:lvl w:ilvl="0">
      <w:start w:val="1"/>
      <w:numFmt w:val="bullet"/>
      <w:lvlText w:val=""/>
      <w:lvlJc w:val="left"/>
      <w:pPr>
        <w:tabs>
          <w:tab w:val="num" w:pos="360"/>
        </w:tabs>
        <w:ind w:left="360" w:hanging="360"/>
      </w:pPr>
      <w:rPr>
        <w:rFonts w:ascii="Symbol" w:hAnsi="Symbol" w:hint="default"/>
        <w:sz w:val="24"/>
      </w:rPr>
    </w:lvl>
  </w:abstractNum>
  <w:abstractNum w:abstractNumId="10">
    <w:nsid w:val="16C6587B"/>
    <w:multiLevelType w:val="singleLevel"/>
    <w:tmpl w:val="5ABEA8F4"/>
    <w:lvl w:ilvl="0">
      <w:start w:val="1"/>
      <w:numFmt w:val="bullet"/>
      <w:lvlText w:val=""/>
      <w:lvlJc w:val="left"/>
      <w:pPr>
        <w:tabs>
          <w:tab w:val="num" w:pos="360"/>
        </w:tabs>
        <w:ind w:left="360" w:hanging="360"/>
      </w:pPr>
      <w:rPr>
        <w:rFonts w:ascii="Symbol" w:hAnsi="Symbol" w:hint="default"/>
        <w:sz w:val="24"/>
      </w:rPr>
    </w:lvl>
  </w:abstractNum>
  <w:abstractNum w:abstractNumId="11">
    <w:nsid w:val="1FD6150D"/>
    <w:multiLevelType w:val="hybridMultilevel"/>
    <w:tmpl w:val="7FC08C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D0424F"/>
    <w:multiLevelType w:val="hybridMultilevel"/>
    <w:tmpl w:val="44143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22F43F0"/>
    <w:multiLevelType w:val="singleLevel"/>
    <w:tmpl w:val="5ABEA8F4"/>
    <w:lvl w:ilvl="0">
      <w:start w:val="1"/>
      <w:numFmt w:val="bullet"/>
      <w:lvlText w:val=""/>
      <w:lvlJc w:val="left"/>
      <w:pPr>
        <w:tabs>
          <w:tab w:val="num" w:pos="360"/>
        </w:tabs>
        <w:ind w:left="360" w:hanging="360"/>
      </w:pPr>
      <w:rPr>
        <w:rFonts w:ascii="Symbol" w:hAnsi="Symbol" w:hint="default"/>
        <w:sz w:val="24"/>
      </w:rPr>
    </w:lvl>
  </w:abstractNum>
  <w:abstractNum w:abstractNumId="14">
    <w:nsid w:val="4D1A2493"/>
    <w:multiLevelType w:val="singleLevel"/>
    <w:tmpl w:val="5ABEA8F4"/>
    <w:lvl w:ilvl="0">
      <w:start w:val="1"/>
      <w:numFmt w:val="bullet"/>
      <w:lvlText w:val=""/>
      <w:lvlJc w:val="left"/>
      <w:pPr>
        <w:tabs>
          <w:tab w:val="num" w:pos="360"/>
        </w:tabs>
        <w:ind w:left="360" w:hanging="360"/>
      </w:pPr>
      <w:rPr>
        <w:rFonts w:ascii="Symbol" w:hAnsi="Symbol" w:hint="default"/>
        <w:sz w:val="24"/>
      </w:rPr>
    </w:lvl>
  </w:abstractNum>
  <w:abstractNum w:abstractNumId="15">
    <w:nsid w:val="543244D5"/>
    <w:multiLevelType w:val="singleLevel"/>
    <w:tmpl w:val="5ABEA8F4"/>
    <w:lvl w:ilvl="0">
      <w:start w:val="1"/>
      <w:numFmt w:val="bullet"/>
      <w:lvlText w:val=""/>
      <w:lvlJc w:val="left"/>
      <w:pPr>
        <w:tabs>
          <w:tab w:val="num" w:pos="360"/>
        </w:tabs>
        <w:ind w:left="360" w:hanging="360"/>
      </w:pPr>
      <w:rPr>
        <w:rFonts w:ascii="Symbol" w:hAnsi="Symbol" w:hint="default"/>
        <w:sz w:val="24"/>
      </w:rPr>
    </w:lvl>
  </w:abstractNum>
  <w:abstractNum w:abstractNumId="16">
    <w:nsid w:val="57342D01"/>
    <w:multiLevelType w:val="singleLevel"/>
    <w:tmpl w:val="5ABEA8F4"/>
    <w:lvl w:ilvl="0">
      <w:start w:val="1"/>
      <w:numFmt w:val="bullet"/>
      <w:lvlText w:val=""/>
      <w:lvlJc w:val="left"/>
      <w:pPr>
        <w:tabs>
          <w:tab w:val="num" w:pos="360"/>
        </w:tabs>
        <w:ind w:left="360" w:hanging="360"/>
      </w:pPr>
      <w:rPr>
        <w:rFonts w:ascii="Symbol" w:hAnsi="Symbol" w:hint="default"/>
        <w:sz w:val="24"/>
      </w:rPr>
    </w:lvl>
  </w:abstractNum>
  <w:abstractNum w:abstractNumId="17">
    <w:nsid w:val="59862177"/>
    <w:multiLevelType w:val="singleLevel"/>
    <w:tmpl w:val="5ABEA8F4"/>
    <w:lvl w:ilvl="0">
      <w:start w:val="1"/>
      <w:numFmt w:val="bullet"/>
      <w:lvlText w:val=""/>
      <w:lvlJc w:val="left"/>
      <w:pPr>
        <w:tabs>
          <w:tab w:val="num" w:pos="360"/>
        </w:tabs>
        <w:ind w:left="360" w:hanging="360"/>
      </w:pPr>
      <w:rPr>
        <w:rFonts w:ascii="Symbol" w:hAnsi="Symbol" w:hint="default"/>
        <w:sz w:val="24"/>
      </w:rPr>
    </w:lvl>
  </w:abstractNum>
  <w:abstractNum w:abstractNumId="18">
    <w:nsid w:val="62313FCF"/>
    <w:multiLevelType w:val="singleLevel"/>
    <w:tmpl w:val="5ABEA8F4"/>
    <w:lvl w:ilvl="0">
      <w:start w:val="1"/>
      <w:numFmt w:val="bullet"/>
      <w:lvlText w:val=""/>
      <w:lvlJc w:val="left"/>
      <w:pPr>
        <w:tabs>
          <w:tab w:val="num" w:pos="360"/>
        </w:tabs>
        <w:ind w:left="360" w:hanging="360"/>
      </w:pPr>
      <w:rPr>
        <w:rFonts w:ascii="Symbol" w:hAnsi="Symbol" w:hint="default"/>
        <w:sz w:val="24"/>
      </w:rPr>
    </w:lvl>
  </w:abstractNum>
  <w:abstractNum w:abstractNumId="19">
    <w:nsid w:val="655401CA"/>
    <w:multiLevelType w:val="singleLevel"/>
    <w:tmpl w:val="5ABEA8F4"/>
    <w:lvl w:ilvl="0">
      <w:start w:val="1"/>
      <w:numFmt w:val="bullet"/>
      <w:lvlText w:val=""/>
      <w:lvlJc w:val="left"/>
      <w:pPr>
        <w:tabs>
          <w:tab w:val="num" w:pos="360"/>
        </w:tabs>
        <w:ind w:left="360" w:hanging="360"/>
      </w:pPr>
      <w:rPr>
        <w:rFonts w:ascii="Symbol" w:hAnsi="Symbol" w:hint="default"/>
        <w:sz w:val="24"/>
      </w:rPr>
    </w:lvl>
  </w:abstractNum>
  <w:abstractNum w:abstractNumId="20">
    <w:nsid w:val="6CA556CF"/>
    <w:multiLevelType w:val="singleLevel"/>
    <w:tmpl w:val="5ABEA8F4"/>
    <w:lvl w:ilvl="0">
      <w:start w:val="1"/>
      <w:numFmt w:val="bullet"/>
      <w:lvlText w:val=""/>
      <w:lvlJc w:val="left"/>
      <w:pPr>
        <w:tabs>
          <w:tab w:val="num" w:pos="360"/>
        </w:tabs>
        <w:ind w:left="360" w:hanging="360"/>
      </w:pPr>
      <w:rPr>
        <w:rFonts w:ascii="Symbol" w:hAnsi="Symbol" w:hint="default"/>
        <w:sz w:val="24"/>
      </w:rPr>
    </w:lvl>
  </w:abstractNum>
  <w:abstractNum w:abstractNumId="21">
    <w:nsid w:val="6F863061"/>
    <w:multiLevelType w:val="multilevel"/>
    <w:tmpl w:val="7F08F37C"/>
    <w:lvl w:ilvl="0">
      <w:start w:val="1"/>
      <w:numFmt w:val="none"/>
      <w:pStyle w:val="Heading1"/>
      <w:suff w:val="nothing"/>
      <w:lvlText w:val=""/>
      <w:lvlJc w:val="left"/>
      <w:pPr>
        <w:ind w:left="0" w:firstLine="0"/>
      </w:pPr>
      <w:rPr>
        <w:rFonts w:hint="default"/>
      </w:rPr>
    </w:lvl>
    <w:lvl w:ilvl="1">
      <w:start w:val="1"/>
      <w:numFmt w:val="decimal"/>
      <w:lvlText w:val="%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
      <w:lvlJc w:val="left"/>
      <w:pPr>
        <w:ind w:left="1728" w:hanging="648"/>
      </w:pPr>
      <w:rPr>
        <w:rFonts w:hint="default"/>
      </w:rPr>
    </w:lvl>
    <w:lvl w:ilvl="4">
      <w:start w:val="1"/>
      <w:numFmt w:val="decimal"/>
      <w:lvlText w:val="%1"/>
      <w:lvlJc w:val="left"/>
      <w:pPr>
        <w:ind w:left="2232" w:hanging="792"/>
      </w:pPr>
      <w:rPr>
        <w:rFonts w:hint="default"/>
      </w:rPr>
    </w:lvl>
    <w:lvl w:ilvl="5">
      <w:start w:val="1"/>
      <w:numFmt w:val="decimal"/>
      <w:lvlText w:val="%1"/>
      <w:lvlJc w:val="left"/>
      <w:pPr>
        <w:ind w:left="2736" w:hanging="936"/>
      </w:pPr>
      <w:rPr>
        <w:rFonts w:hint="default"/>
      </w:rPr>
    </w:lvl>
    <w:lvl w:ilvl="6">
      <w:start w:val="1"/>
      <w:numFmt w:val="decimal"/>
      <w:lvlText w:val="%1"/>
      <w:lvlJc w:val="left"/>
      <w:pPr>
        <w:ind w:left="3240" w:hanging="1080"/>
      </w:pPr>
      <w:rPr>
        <w:rFonts w:hint="default"/>
      </w:rPr>
    </w:lvl>
    <w:lvl w:ilvl="7">
      <w:start w:val="1"/>
      <w:numFmt w:val="decimal"/>
      <w:lvlText w:val="%1"/>
      <w:lvlJc w:val="left"/>
      <w:pPr>
        <w:ind w:left="3744" w:hanging="1224"/>
      </w:pPr>
      <w:rPr>
        <w:rFonts w:hint="default"/>
      </w:rPr>
    </w:lvl>
    <w:lvl w:ilvl="8">
      <w:numFmt w:val="decimal"/>
      <w:lvlRestart w:val="0"/>
      <w:lvlText w:val="%1"/>
      <w:lvlJc w:val="left"/>
      <w:pPr>
        <w:ind w:left="4320" w:hanging="1440"/>
      </w:pPr>
      <w:rPr>
        <w:rFonts w:hint="default"/>
      </w:rPr>
    </w:lvl>
  </w:abstractNum>
  <w:abstractNum w:abstractNumId="22">
    <w:nsid w:val="756D21DB"/>
    <w:multiLevelType w:val="singleLevel"/>
    <w:tmpl w:val="998AD3FC"/>
    <w:lvl w:ilvl="0">
      <w:start w:val="1"/>
      <w:numFmt w:val="bullet"/>
      <w:lvlText w:val=""/>
      <w:lvlJc w:val="left"/>
      <w:pPr>
        <w:tabs>
          <w:tab w:val="num" w:pos="720"/>
        </w:tabs>
        <w:ind w:left="720" w:hanging="720"/>
      </w:pPr>
      <w:rPr>
        <w:rFonts w:ascii="Symbol" w:hAnsi="Symbol" w:hint="default"/>
        <w:sz w:val="20"/>
      </w:rPr>
    </w:lvl>
  </w:abstractNum>
  <w:abstractNum w:abstractNumId="23">
    <w:nsid w:val="7B816899"/>
    <w:multiLevelType w:val="singleLevel"/>
    <w:tmpl w:val="998AD3FC"/>
    <w:lvl w:ilvl="0">
      <w:start w:val="1"/>
      <w:numFmt w:val="bullet"/>
      <w:lvlText w:val=""/>
      <w:lvlJc w:val="left"/>
      <w:pPr>
        <w:tabs>
          <w:tab w:val="num" w:pos="720"/>
        </w:tabs>
        <w:ind w:left="720" w:hanging="720"/>
      </w:pPr>
      <w:rPr>
        <w:rFonts w:ascii="Symbol" w:hAnsi="Symbol" w:hint="default"/>
        <w:sz w:val="20"/>
      </w:rPr>
    </w:lvl>
  </w:abstractNum>
  <w:abstractNum w:abstractNumId="24">
    <w:nsid w:val="7EC2309B"/>
    <w:multiLevelType w:val="singleLevel"/>
    <w:tmpl w:val="5ABEA8F4"/>
    <w:lvl w:ilvl="0">
      <w:start w:val="1"/>
      <w:numFmt w:val="bullet"/>
      <w:lvlText w:val=""/>
      <w:lvlJc w:val="left"/>
      <w:pPr>
        <w:tabs>
          <w:tab w:val="num" w:pos="360"/>
        </w:tabs>
        <w:ind w:left="360" w:hanging="360"/>
      </w:pPr>
      <w:rPr>
        <w:rFonts w:ascii="Symbol" w:hAnsi="Symbol" w:hint="default"/>
        <w:sz w:val="24"/>
      </w:rPr>
    </w:lvl>
  </w:abstractNum>
  <w:num w:numId="1">
    <w:abstractNumId w:val="3"/>
  </w:num>
  <w:num w:numId="2">
    <w:abstractNumId w:val="7"/>
  </w:num>
  <w:num w:numId="3">
    <w:abstractNumId w:val="21"/>
  </w:num>
  <w:num w:numId="4">
    <w:abstractNumId w:val="6"/>
  </w:num>
  <w:num w:numId="5">
    <w:abstractNumId w:val="4"/>
  </w:num>
  <w:num w:numId="6">
    <w:abstractNumId w:val="2"/>
  </w:num>
  <w:num w:numId="7">
    <w:abstractNumId w:val="1"/>
  </w:num>
  <w:num w:numId="8">
    <w:abstractNumId w:val="0"/>
  </w:num>
  <w:num w:numId="9">
    <w:abstractNumId w:val="21"/>
  </w:num>
  <w:num w:numId="10">
    <w:abstractNumId w:val="8"/>
  </w:num>
  <w:num w:numId="11">
    <w:abstractNumId w:val="20"/>
  </w:num>
  <w:num w:numId="12">
    <w:abstractNumId w:val="5"/>
  </w:num>
  <w:num w:numId="13">
    <w:abstractNumId w:val="17"/>
  </w:num>
  <w:num w:numId="14">
    <w:abstractNumId w:val="24"/>
  </w:num>
  <w:num w:numId="15">
    <w:abstractNumId w:val="15"/>
  </w:num>
  <w:num w:numId="16">
    <w:abstractNumId w:val="16"/>
  </w:num>
  <w:num w:numId="17">
    <w:abstractNumId w:val="14"/>
  </w:num>
  <w:num w:numId="18">
    <w:abstractNumId w:val="13"/>
  </w:num>
  <w:num w:numId="19">
    <w:abstractNumId w:val="9"/>
  </w:num>
  <w:num w:numId="20">
    <w:abstractNumId w:val="19"/>
  </w:num>
  <w:num w:numId="21">
    <w:abstractNumId w:val="18"/>
  </w:num>
  <w:num w:numId="22">
    <w:abstractNumId w:val="10"/>
  </w:num>
  <w:num w:numId="23">
    <w:abstractNumId w:val="23"/>
  </w:num>
  <w:num w:numId="24">
    <w:abstractNumId w:val="22"/>
  </w:num>
  <w:num w:numId="25">
    <w:abstractNumId w:val="12"/>
  </w:num>
  <w:num w:numId="26">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attachedTemplate r:id="rId1"/>
  <w:stylePaneFormatFilter w:val="D024"/>
  <w:documentProtection w:formatting="1" w:enforcement="0"/>
  <w:styleLockTheme/>
  <w:styleLockQFSet/>
  <w:defaultTabStop w:val="720"/>
  <w:drawingGridHorizontalSpacing w:val="110"/>
  <w:displayHorizontalDrawingGridEvery w:val="2"/>
  <w:characterSpacingControl w:val="doNotCompress"/>
  <w:hdrShapeDefaults>
    <o:shapedefaults v:ext="edit" spidmax="175105" fill="f" fillcolor="white" stroke="f">
      <v:fill color="white" on="f"/>
      <v:stroke on="f"/>
      <o:colormenu v:ext="edit" fillcolor="none" strokecolor="none"/>
    </o:shapedefaults>
  </w:hdrShapeDefaults>
  <w:footnotePr>
    <w:pos w:val="beneathText"/>
    <w:footnote w:id="-1"/>
    <w:footnote w:id="0"/>
  </w:footnotePr>
  <w:endnotePr>
    <w:endnote w:id="-1"/>
    <w:endnote w:id="0"/>
  </w:endnotePr>
  <w:compat/>
  <w:rsids>
    <w:rsidRoot w:val="004F21A2"/>
    <w:rsid w:val="0000019D"/>
    <w:rsid w:val="0000364C"/>
    <w:rsid w:val="00004135"/>
    <w:rsid w:val="000041A1"/>
    <w:rsid w:val="000053BB"/>
    <w:rsid w:val="0000615D"/>
    <w:rsid w:val="00011B3F"/>
    <w:rsid w:val="00013373"/>
    <w:rsid w:val="000142E5"/>
    <w:rsid w:val="00015DA7"/>
    <w:rsid w:val="000212BC"/>
    <w:rsid w:val="000248CE"/>
    <w:rsid w:val="00024E1E"/>
    <w:rsid w:val="00031CAC"/>
    <w:rsid w:val="00034A4B"/>
    <w:rsid w:val="000411ED"/>
    <w:rsid w:val="00041909"/>
    <w:rsid w:val="00046593"/>
    <w:rsid w:val="00047C08"/>
    <w:rsid w:val="0005401F"/>
    <w:rsid w:val="00055769"/>
    <w:rsid w:val="00056EC3"/>
    <w:rsid w:val="000574FE"/>
    <w:rsid w:val="00060D9B"/>
    <w:rsid w:val="00062CFE"/>
    <w:rsid w:val="00065D6C"/>
    <w:rsid w:val="0007129A"/>
    <w:rsid w:val="00072DFD"/>
    <w:rsid w:val="00073711"/>
    <w:rsid w:val="00083191"/>
    <w:rsid w:val="000831C4"/>
    <w:rsid w:val="000831C6"/>
    <w:rsid w:val="000844CA"/>
    <w:rsid w:val="00095E6F"/>
    <w:rsid w:val="000A057F"/>
    <w:rsid w:val="000A6B87"/>
    <w:rsid w:val="000B08D9"/>
    <w:rsid w:val="000B15D0"/>
    <w:rsid w:val="000B3FBE"/>
    <w:rsid w:val="000B79AD"/>
    <w:rsid w:val="000C26D8"/>
    <w:rsid w:val="000C28E1"/>
    <w:rsid w:val="000C4375"/>
    <w:rsid w:val="000C4E0D"/>
    <w:rsid w:val="000C5311"/>
    <w:rsid w:val="000C7E0F"/>
    <w:rsid w:val="000E471F"/>
    <w:rsid w:val="000E5CB0"/>
    <w:rsid w:val="000E7135"/>
    <w:rsid w:val="000F040A"/>
    <w:rsid w:val="000F0F63"/>
    <w:rsid w:val="000F3FC2"/>
    <w:rsid w:val="000F55E9"/>
    <w:rsid w:val="00100D14"/>
    <w:rsid w:val="001034E8"/>
    <w:rsid w:val="001075EC"/>
    <w:rsid w:val="00112A69"/>
    <w:rsid w:val="00114A99"/>
    <w:rsid w:val="00114E97"/>
    <w:rsid w:val="0011541D"/>
    <w:rsid w:val="00117B29"/>
    <w:rsid w:val="00121B34"/>
    <w:rsid w:val="00132864"/>
    <w:rsid w:val="00132F4A"/>
    <w:rsid w:val="00136B4C"/>
    <w:rsid w:val="00143EC0"/>
    <w:rsid w:val="00146970"/>
    <w:rsid w:val="0015272B"/>
    <w:rsid w:val="00152D5F"/>
    <w:rsid w:val="00160E96"/>
    <w:rsid w:val="00164B13"/>
    <w:rsid w:val="00167425"/>
    <w:rsid w:val="00167DA7"/>
    <w:rsid w:val="00176A94"/>
    <w:rsid w:val="001807A3"/>
    <w:rsid w:val="001876AD"/>
    <w:rsid w:val="001947D5"/>
    <w:rsid w:val="001A6E1E"/>
    <w:rsid w:val="001B0E69"/>
    <w:rsid w:val="001B7F2C"/>
    <w:rsid w:val="001B7F65"/>
    <w:rsid w:val="001C718B"/>
    <w:rsid w:val="001D03A8"/>
    <w:rsid w:val="001D4141"/>
    <w:rsid w:val="001D6C09"/>
    <w:rsid w:val="001D7C5E"/>
    <w:rsid w:val="001E44F3"/>
    <w:rsid w:val="001E6410"/>
    <w:rsid w:val="001F05A9"/>
    <w:rsid w:val="001F2E92"/>
    <w:rsid w:val="001F3A8F"/>
    <w:rsid w:val="001F670D"/>
    <w:rsid w:val="002008B4"/>
    <w:rsid w:val="00201F24"/>
    <w:rsid w:val="00202F3B"/>
    <w:rsid w:val="00205456"/>
    <w:rsid w:val="002127CE"/>
    <w:rsid w:val="00215842"/>
    <w:rsid w:val="002207DF"/>
    <w:rsid w:val="00221AC2"/>
    <w:rsid w:val="00221DDC"/>
    <w:rsid w:val="00223DDF"/>
    <w:rsid w:val="00227E4B"/>
    <w:rsid w:val="0023015A"/>
    <w:rsid w:val="00234238"/>
    <w:rsid w:val="002369FA"/>
    <w:rsid w:val="0023708A"/>
    <w:rsid w:val="0025022D"/>
    <w:rsid w:val="002530BB"/>
    <w:rsid w:val="002556F3"/>
    <w:rsid w:val="0025676A"/>
    <w:rsid w:val="00260EDF"/>
    <w:rsid w:val="00264148"/>
    <w:rsid w:val="00274179"/>
    <w:rsid w:val="00280BE5"/>
    <w:rsid w:val="00296FE0"/>
    <w:rsid w:val="00297ED3"/>
    <w:rsid w:val="002B0FD2"/>
    <w:rsid w:val="002B23FA"/>
    <w:rsid w:val="002B690E"/>
    <w:rsid w:val="002C378C"/>
    <w:rsid w:val="002C580F"/>
    <w:rsid w:val="002E196C"/>
    <w:rsid w:val="002E3FD5"/>
    <w:rsid w:val="002E7A38"/>
    <w:rsid w:val="002F287D"/>
    <w:rsid w:val="00306516"/>
    <w:rsid w:val="003153CC"/>
    <w:rsid w:val="00325B98"/>
    <w:rsid w:val="0034387D"/>
    <w:rsid w:val="003469CB"/>
    <w:rsid w:val="00350C8B"/>
    <w:rsid w:val="00362B79"/>
    <w:rsid w:val="00363331"/>
    <w:rsid w:val="00371009"/>
    <w:rsid w:val="00371E14"/>
    <w:rsid w:val="00373208"/>
    <w:rsid w:val="00383DB3"/>
    <w:rsid w:val="003854B2"/>
    <w:rsid w:val="00385A36"/>
    <w:rsid w:val="00385AE6"/>
    <w:rsid w:val="00387C8D"/>
    <w:rsid w:val="00392DD0"/>
    <w:rsid w:val="003943BE"/>
    <w:rsid w:val="00396BCB"/>
    <w:rsid w:val="003974ED"/>
    <w:rsid w:val="00397825"/>
    <w:rsid w:val="003A1073"/>
    <w:rsid w:val="003A10F3"/>
    <w:rsid w:val="003A3906"/>
    <w:rsid w:val="003A7959"/>
    <w:rsid w:val="003B03A4"/>
    <w:rsid w:val="003B1A19"/>
    <w:rsid w:val="003C03EA"/>
    <w:rsid w:val="003C690C"/>
    <w:rsid w:val="003D0A43"/>
    <w:rsid w:val="003D4D39"/>
    <w:rsid w:val="003D7897"/>
    <w:rsid w:val="003E3FAE"/>
    <w:rsid w:val="003E40FA"/>
    <w:rsid w:val="003F24ED"/>
    <w:rsid w:val="003F529E"/>
    <w:rsid w:val="00405C0E"/>
    <w:rsid w:val="00411119"/>
    <w:rsid w:val="00422B43"/>
    <w:rsid w:val="00426481"/>
    <w:rsid w:val="00432579"/>
    <w:rsid w:val="00432966"/>
    <w:rsid w:val="00436FB6"/>
    <w:rsid w:val="00441B1D"/>
    <w:rsid w:val="00443C0D"/>
    <w:rsid w:val="0044416E"/>
    <w:rsid w:val="0045608E"/>
    <w:rsid w:val="0045662F"/>
    <w:rsid w:val="00466959"/>
    <w:rsid w:val="0047784B"/>
    <w:rsid w:val="00477C62"/>
    <w:rsid w:val="004821E7"/>
    <w:rsid w:val="00485267"/>
    <w:rsid w:val="00487E3E"/>
    <w:rsid w:val="004946F0"/>
    <w:rsid w:val="00497C2A"/>
    <w:rsid w:val="00497DDF"/>
    <w:rsid w:val="004A507B"/>
    <w:rsid w:val="004A538C"/>
    <w:rsid w:val="004A7F85"/>
    <w:rsid w:val="004B1075"/>
    <w:rsid w:val="004C1505"/>
    <w:rsid w:val="004C277B"/>
    <w:rsid w:val="004C6322"/>
    <w:rsid w:val="004C6F6B"/>
    <w:rsid w:val="004C7A2E"/>
    <w:rsid w:val="004D05FB"/>
    <w:rsid w:val="004D0866"/>
    <w:rsid w:val="004D19F3"/>
    <w:rsid w:val="004D29C7"/>
    <w:rsid w:val="004E430B"/>
    <w:rsid w:val="004E6B88"/>
    <w:rsid w:val="004F08A5"/>
    <w:rsid w:val="004F21A2"/>
    <w:rsid w:val="00504119"/>
    <w:rsid w:val="00504537"/>
    <w:rsid w:val="005065CF"/>
    <w:rsid w:val="00506BB4"/>
    <w:rsid w:val="0050705F"/>
    <w:rsid w:val="00514550"/>
    <w:rsid w:val="005170D3"/>
    <w:rsid w:val="00520007"/>
    <w:rsid w:val="0052493A"/>
    <w:rsid w:val="00524CD9"/>
    <w:rsid w:val="00524CDB"/>
    <w:rsid w:val="005320B4"/>
    <w:rsid w:val="00535CAF"/>
    <w:rsid w:val="00536054"/>
    <w:rsid w:val="0053654B"/>
    <w:rsid w:val="00536CE1"/>
    <w:rsid w:val="00540703"/>
    <w:rsid w:val="0054180D"/>
    <w:rsid w:val="00547B53"/>
    <w:rsid w:val="0056079F"/>
    <w:rsid w:val="00561DB1"/>
    <w:rsid w:val="00570250"/>
    <w:rsid w:val="00571D8F"/>
    <w:rsid w:val="0057367D"/>
    <w:rsid w:val="00580288"/>
    <w:rsid w:val="00580A1C"/>
    <w:rsid w:val="00585BE3"/>
    <w:rsid w:val="0058678A"/>
    <w:rsid w:val="005A2E6E"/>
    <w:rsid w:val="005B17B5"/>
    <w:rsid w:val="005B2139"/>
    <w:rsid w:val="005B2B58"/>
    <w:rsid w:val="005C00FA"/>
    <w:rsid w:val="005C2D89"/>
    <w:rsid w:val="005C485B"/>
    <w:rsid w:val="005C734A"/>
    <w:rsid w:val="005D39D7"/>
    <w:rsid w:val="005D4228"/>
    <w:rsid w:val="005D5956"/>
    <w:rsid w:val="005D6F63"/>
    <w:rsid w:val="005D74C9"/>
    <w:rsid w:val="005E218F"/>
    <w:rsid w:val="005F29A0"/>
    <w:rsid w:val="005F4848"/>
    <w:rsid w:val="005F4A99"/>
    <w:rsid w:val="00605008"/>
    <w:rsid w:val="00610389"/>
    <w:rsid w:val="0062008C"/>
    <w:rsid w:val="00620797"/>
    <w:rsid w:val="00626494"/>
    <w:rsid w:val="00641DE2"/>
    <w:rsid w:val="00643384"/>
    <w:rsid w:val="0065406F"/>
    <w:rsid w:val="006546CD"/>
    <w:rsid w:val="00656565"/>
    <w:rsid w:val="00660EBC"/>
    <w:rsid w:val="00663EC4"/>
    <w:rsid w:val="00673003"/>
    <w:rsid w:val="0067700D"/>
    <w:rsid w:val="00677C5F"/>
    <w:rsid w:val="0068159E"/>
    <w:rsid w:val="00684AEC"/>
    <w:rsid w:val="00687804"/>
    <w:rsid w:val="00690152"/>
    <w:rsid w:val="00691F6B"/>
    <w:rsid w:val="006949E9"/>
    <w:rsid w:val="00696329"/>
    <w:rsid w:val="006A0BC7"/>
    <w:rsid w:val="006A55BD"/>
    <w:rsid w:val="006B0C34"/>
    <w:rsid w:val="006B5CF5"/>
    <w:rsid w:val="006C0062"/>
    <w:rsid w:val="006C097E"/>
    <w:rsid w:val="006C2DC3"/>
    <w:rsid w:val="006D02CB"/>
    <w:rsid w:val="006D0439"/>
    <w:rsid w:val="006D17E1"/>
    <w:rsid w:val="006D1996"/>
    <w:rsid w:val="006D5286"/>
    <w:rsid w:val="006D59D0"/>
    <w:rsid w:val="006E5030"/>
    <w:rsid w:val="006F73B3"/>
    <w:rsid w:val="00724697"/>
    <w:rsid w:val="00725453"/>
    <w:rsid w:val="0072601A"/>
    <w:rsid w:val="00737591"/>
    <w:rsid w:val="0074197A"/>
    <w:rsid w:val="007438F2"/>
    <w:rsid w:val="00747B40"/>
    <w:rsid w:val="007529CD"/>
    <w:rsid w:val="00753281"/>
    <w:rsid w:val="00755C3D"/>
    <w:rsid w:val="0075727B"/>
    <w:rsid w:val="007576EF"/>
    <w:rsid w:val="00760677"/>
    <w:rsid w:val="00761C12"/>
    <w:rsid w:val="00761F76"/>
    <w:rsid w:val="0076497E"/>
    <w:rsid w:val="007658BA"/>
    <w:rsid w:val="00774C32"/>
    <w:rsid w:val="0077539A"/>
    <w:rsid w:val="007760E0"/>
    <w:rsid w:val="00776CF4"/>
    <w:rsid w:val="00784F89"/>
    <w:rsid w:val="00786336"/>
    <w:rsid w:val="0079430B"/>
    <w:rsid w:val="007A0843"/>
    <w:rsid w:val="007A3DDD"/>
    <w:rsid w:val="007A4378"/>
    <w:rsid w:val="007B1404"/>
    <w:rsid w:val="007B766F"/>
    <w:rsid w:val="007C5CE9"/>
    <w:rsid w:val="007D39CC"/>
    <w:rsid w:val="007D6AAF"/>
    <w:rsid w:val="007E2369"/>
    <w:rsid w:val="007E5A11"/>
    <w:rsid w:val="007E73E6"/>
    <w:rsid w:val="007F1954"/>
    <w:rsid w:val="007F21D7"/>
    <w:rsid w:val="008002A5"/>
    <w:rsid w:val="008006EB"/>
    <w:rsid w:val="00803522"/>
    <w:rsid w:val="008057F8"/>
    <w:rsid w:val="00816404"/>
    <w:rsid w:val="008213F9"/>
    <w:rsid w:val="00830316"/>
    <w:rsid w:val="008307E1"/>
    <w:rsid w:val="00835078"/>
    <w:rsid w:val="00836D62"/>
    <w:rsid w:val="00867160"/>
    <w:rsid w:val="00871A33"/>
    <w:rsid w:val="0087205B"/>
    <w:rsid w:val="00874FB8"/>
    <w:rsid w:val="008810A6"/>
    <w:rsid w:val="00895669"/>
    <w:rsid w:val="00896B7F"/>
    <w:rsid w:val="00897946"/>
    <w:rsid w:val="008A005F"/>
    <w:rsid w:val="008A1538"/>
    <w:rsid w:val="008A18FB"/>
    <w:rsid w:val="008A3276"/>
    <w:rsid w:val="008A3447"/>
    <w:rsid w:val="008A4D04"/>
    <w:rsid w:val="008A7778"/>
    <w:rsid w:val="008B1087"/>
    <w:rsid w:val="008B3446"/>
    <w:rsid w:val="008B736B"/>
    <w:rsid w:val="008C34BD"/>
    <w:rsid w:val="008C7304"/>
    <w:rsid w:val="008D6C1F"/>
    <w:rsid w:val="008E0B1F"/>
    <w:rsid w:val="008E4BF2"/>
    <w:rsid w:val="008F4CBD"/>
    <w:rsid w:val="009017AD"/>
    <w:rsid w:val="00901BED"/>
    <w:rsid w:val="00905735"/>
    <w:rsid w:val="00905BE4"/>
    <w:rsid w:val="009131B9"/>
    <w:rsid w:val="009153E3"/>
    <w:rsid w:val="00921115"/>
    <w:rsid w:val="0092579C"/>
    <w:rsid w:val="00935805"/>
    <w:rsid w:val="009367BE"/>
    <w:rsid w:val="009368F3"/>
    <w:rsid w:val="00940A35"/>
    <w:rsid w:val="00944D01"/>
    <w:rsid w:val="00947C42"/>
    <w:rsid w:val="00950489"/>
    <w:rsid w:val="00950B96"/>
    <w:rsid w:val="00957DE9"/>
    <w:rsid w:val="00960A79"/>
    <w:rsid w:val="00961C53"/>
    <w:rsid w:val="0096282E"/>
    <w:rsid w:val="00965A44"/>
    <w:rsid w:val="00967D7C"/>
    <w:rsid w:val="0097297F"/>
    <w:rsid w:val="009757AD"/>
    <w:rsid w:val="00980B6A"/>
    <w:rsid w:val="009818F9"/>
    <w:rsid w:val="009828A3"/>
    <w:rsid w:val="0098618F"/>
    <w:rsid w:val="00987C32"/>
    <w:rsid w:val="00987D33"/>
    <w:rsid w:val="009907E0"/>
    <w:rsid w:val="00991646"/>
    <w:rsid w:val="00991932"/>
    <w:rsid w:val="0099448B"/>
    <w:rsid w:val="00997347"/>
    <w:rsid w:val="009A22CC"/>
    <w:rsid w:val="009A4406"/>
    <w:rsid w:val="009B0222"/>
    <w:rsid w:val="009B19CE"/>
    <w:rsid w:val="009B43D9"/>
    <w:rsid w:val="009B683A"/>
    <w:rsid w:val="009B6D6C"/>
    <w:rsid w:val="009C202F"/>
    <w:rsid w:val="009C5066"/>
    <w:rsid w:val="009C77F7"/>
    <w:rsid w:val="009E199E"/>
    <w:rsid w:val="009E4485"/>
    <w:rsid w:val="009E5ABC"/>
    <w:rsid w:val="009E5B9C"/>
    <w:rsid w:val="009E66F6"/>
    <w:rsid w:val="009F4ED1"/>
    <w:rsid w:val="009F77E9"/>
    <w:rsid w:val="009F7FCD"/>
    <w:rsid w:val="00A00D71"/>
    <w:rsid w:val="00A00EDF"/>
    <w:rsid w:val="00A171F5"/>
    <w:rsid w:val="00A20AFF"/>
    <w:rsid w:val="00A26A17"/>
    <w:rsid w:val="00A27BBC"/>
    <w:rsid w:val="00A27F85"/>
    <w:rsid w:val="00A30169"/>
    <w:rsid w:val="00A312A3"/>
    <w:rsid w:val="00A33D9F"/>
    <w:rsid w:val="00A360AD"/>
    <w:rsid w:val="00A37229"/>
    <w:rsid w:val="00A418C9"/>
    <w:rsid w:val="00A52F52"/>
    <w:rsid w:val="00A62F24"/>
    <w:rsid w:val="00A74727"/>
    <w:rsid w:val="00A749B2"/>
    <w:rsid w:val="00A74C9B"/>
    <w:rsid w:val="00A8716A"/>
    <w:rsid w:val="00A93478"/>
    <w:rsid w:val="00A94C33"/>
    <w:rsid w:val="00A97F75"/>
    <w:rsid w:val="00A97FE7"/>
    <w:rsid w:val="00AA039C"/>
    <w:rsid w:val="00AA3D70"/>
    <w:rsid w:val="00AA46CA"/>
    <w:rsid w:val="00AA60B9"/>
    <w:rsid w:val="00AA7EFA"/>
    <w:rsid w:val="00AB142C"/>
    <w:rsid w:val="00AB61B3"/>
    <w:rsid w:val="00AC1A01"/>
    <w:rsid w:val="00AC323A"/>
    <w:rsid w:val="00AD0727"/>
    <w:rsid w:val="00AD3F5B"/>
    <w:rsid w:val="00AD6357"/>
    <w:rsid w:val="00AD7F81"/>
    <w:rsid w:val="00AE3413"/>
    <w:rsid w:val="00AE4CA9"/>
    <w:rsid w:val="00AF367D"/>
    <w:rsid w:val="00AF45FD"/>
    <w:rsid w:val="00AF69A0"/>
    <w:rsid w:val="00B10EEE"/>
    <w:rsid w:val="00B15918"/>
    <w:rsid w:val="00B22F70"/>
    <w:rsid w:val="00B27C08"/>
    <w:rsid w:val="00B35E2A"/>
    <w:rsid w:val="00B41AF2"/>
    <w:rsid w:val="00B4263D"/>
    <w:rsid w:val="00B42D5C"/>
    <w:rsid w:val="00B440E3"/>
    <w:rsid w:val="00B504D3"/>
    <w:rsid w:val="00B514BB"/>
    <w:rsid w:val="00B52841"/>
    <w:rsid w:val="00B56953"/>
    <w:rsid w:val="00B56F49"/>
    <w:rsid w:val="00B61F85"/>
    <w:rsid w:val="00B667E2"/>
    <w:rsid w:val="00B740E2"/>
    <w:rsid w:val="00B7442A"/>
    <w:rsid w:val="00B74575"/>
    <w:rsid w:val="00B8287E"/>
    <w:rsid w:val="00B829AF"/>
    <w:rsid w:val="00B961E6"/>
    <w:rsid w:val="00B97002"/>
    <w:rsid w:val="00BB2F70"/>
    <w:rsid w:val="00BB6CF4"/>
    <w:rsid w:val="00BC14C3"/>
    <w:rsid w:val="00BC1ABE"/>
    <w:rsid w:val="00BC1D50"/>
    <w:rsid w:val="00BC5623"/>
    <w:rsid w:val="00BD07B7"/>
    <w:rsid w:val="00BD1024"/>
    <w:rsid w:val="00BD2F20"/>
    <w:rsid w:val="00BD4355"/>
    <w:rsid w:val="00BD4F62"/>
    <w:rsid w:val="00BE4AFD"/>
    <w:rsid w:val="00BE78C2"/>
    <w:rsid w:val="00BF07F1"/>
    <w:rsid w:val="00BF4B35"/>
    <w:rsid w:val="00C00590"/>
    <w:rsid w:val="00C04348"/>
    <w:rsid w:val="00C04647"/>
    <w:rsid w:val="00C102A1"/>
    <w:rsid w:val="00C12551"/>
    <w:rsid w:val="00C211CD"/>
    <w:rsid w:val="00C232FA"/>
    <w:rsid w:val="00C25328"/>
    <w:rsid w:val="00C30ADB"/>
    <w:rsid w:val="00C31F46"/>
    <w:rsid w:val="00C34016"/>
    <w:rsid w:val="00C3744D"/>
    <w:rsid w:val="00C43A84"/>
    <w:rsid w:val="00C44DE4"/>
    <w:rsid w:val="00C543FC"/>
    <w:rsid w:val="00C57199"/>
    <w:rsid w:val="00C64137"/>
    <w:rsid w:val="00C645AA"/>
    <w:rsid w:val="00C658E4"/>
    <w:rsid w:val="00C7266E"/>
    <w:rsid w:val="00C76C66"/>
    <w:rsid w:val="00C76CE8"/>
    <w:rsid w:val="00C82DF9"/>
    <w:rsid w:val="00C865BF"/>
    <w:rsid w:val="00C87190"/>
    <w:rsid w:val="00C9225F"/>
    <w:rsid w:val="00C940C4"/>
    <w:rsid w:val="00CA1564"/>
    <w:rsid w:val="00CA7C3E"/>
    <w:rsid w:val="00CA7C8A"/>
    <w:rsid w:val="00CB26CF"/>
    <w:rsid w:val="00CB44E8"/>
    <w:rsid w:val="00CB7978"/>
    <w:rsid w:val="00CC1D12"/>
    <w:rsid w:val="00CC2E79"/>
    <w:rsid w:val="00CC5BA5"/>
    <w:rsid w:val="00CD5ACC"/>
    <w:rsid w:val="00CE1990"/>
    <w:rsid w:val="00CE42E9"/>
    <w:rsid w:val="00CE535D"/>
    <w:rsid w:val="00CF3432"/>
    <w:rsid w:val="00D001E4"/>
    <w:rsid w:val="00D00AA8"/>
    <w:rsid w:val="00D0265C"/>
    <w:rsid w:val="00D02778"/>
    <w:rsid w:val="00D27717"/>
    <w:rsid w:val="00D27B18"/>
    <w:rsid w:val="00D300F4"/>
    <w:rsid w:val="00D3344B"/>
    <w:rsid w:val="00D34912"/>
    <w:rsid w:val="00D34AD9"/>
    <w:rsid w:val="00D40175"/>
    <w:rsid w:val="00D45BA0"/>
    <w:rsid w:val="00D47538"/>
    <w:rsid w:val="00D55243"/>
    <w:rsid w:val="00D62F90"/>
    <w:rsid w:val="00D63E74"/>
    <w:rsid w:val="00D65711"/>
    <w:rsid w:val="00D672BC"/>
    <w:rsid w:val="00D715C4"/>
    <w:rsid w:val="00D752E7"/>
    <w:rsid w:val="00D75548"/>
    <w:rsid w:val="00D928FD"/>
    <w:rsid w:val="00D953FA"/>
    <w:rsid w:val="00D9686F"/>
    <w:rsid w:val="00D97CF0"/>
    <w:rsid w:val="00DA4D55"/>
    <w:rsid w:val="00DC79E3"/>
    <w:rsid w:val="00DD51E1"/>
    <w:rsid w:val="00DD5E79"/>
    <w:rsid w:val="00DE026F"/>
    <w:rsid w:val="00DE2D54"/>
    <w:rsid w:val="00E02BB0"/>
    <w:rsid w:val="00E03019"/>
    <w:rsid w:val="00E03CE6"/>
    <w:rsid w:val="00E13716"/>
    <w:rsid w:val="00E14505"/>
    <w:rsid w:val="00E17392"/>
    <w:rsid w:val="00E266FF"/>
    <w:rsid w:val="00E27661"/>
    <w:rsid w:val="00E301AB"/>
    <w:rsid w:val="00E32094"/>
    <w:rsid w:val="00E3417B"/>
    <w:rsid w:val="00E3473D"/>
    <w:rsid w:val="00E407B2"/>
    <w:rsid w:val="00E47DB3"/>
    <w:rsid w:val="00E509A9"/>
    <w:rsid w:val="00E50E03"/>
    <w:rsid w:val="00E51F8B"/>
    <w:rsid w:val="00E5242A"/>
    <w:rsid w:val="00E53398"/>
    <w:rsid w:val="00E66AE2"/>
    <w:rsid w:val="00E722E7"/>
    <w:rsid w:val="00E74DA4"/>
    <w:rsid w:val="00E81B89"/>
    <w:rsid w:val="00E91432"/>
    <w:rsid w:val="00E91B5A"/>
    <w:rsid w:val="00E9517A"/>
    <w:rsid w:val="00EB299F"/>
    <w:rsid w:val="00EB390D"/>
    <w:rsid w:val="00EB6496"/>
    <w:rsid w:val="00EB7CE0"/>
    <w:rsid w:val="00EC6433"/>
    <w:rsid w:val="00EC752F"/>
    <w:rsid w:val="00ED2E9D"/>
    <w:rsid w:val="00ED6E45"/>
    <w:rsid w:val="00EE43E4"/>
    <w:rsid w:val="00F001EA"/>
    <w:rsid w:val="00F03DDA"/>
    <w:rsid w:val="00F06E43"/>
    <w:rsid w:val="00F16B90"/>
    <w:rsid w:val="00F207E7"/>
    <w:rsid w:val="00F24331"/>
    <w:rsid w:val="00F3208A"/>
    <w:rsid w:val="00F32345"/>
    <w:rsid w:val="00F34F19"/>
    <w:rsid w:val="00F44A21"/>
    <w:rsid w:val="00F458FA"/>
    <w:rsid w:val="00F47D5E"/>
    <w:rsid w:val="00F575F0"/>
    <w:rsid w:val="00F6664C"/>
    <w:rsid w:val="00F71CC3"/>
    <w:rsid w:val="00F80AF1"/>
    <w:rsid w:val="00F8298C"/>
    <w:rsid w:val="00F82F62"/>
    <w:rsid w:val="00F844F4"/>
    <w:rsid w:val="00F8628F"/>
    <w:rsid w:val="00F90245"/>
    <w:rsid w:val="00F90BEF"/>
    <w:rsid w:val="00F920D9"/>
    <w:rsid w:val="00F94781"/>
    <w:rsid w:val="00F950C7"/>
    <w:rsid w:val="00FA5388"/>
    <w:rsid w:val="00FA6A03"/>
    <w:rsid w:val="00FB08E3"/>
    <w:rsid w:val="00FC3FDD"/>
    <w:rsid w:val="00FD397B"/>
    <w:rsid w:val="00FD4B01"/>
    <w:rsid w:val="00FD7CDC"/>
    <w:rsid w:val="00FE0CD6"/>
    <w:rsid w:val="00FE58E0"/>
    <w:rsid w:val="00FE7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5105" fill="f" fillcolor="white" stroke="f">
      <v:fill color="white" on="f"/>
      <v:stroke on="f"/>
      <o:colormenu v:ext="edit" fillcolor="none" strokecolor="none"/>
    </o:shapedefaults>
    <o:shapelayout v:ext="edit">
      <o:idmap v:ext="edit" data="1"/>
      <o:rules v:ext="edit">
        <o:r id="V:Rule2"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qFormat="1"/>
    <w:lsdException w:name="toc 2" w:locked="0" w:uiPriority="39" w:qFormat="1"/>
    <w:lsdException w:name="toc 3" w:locked="0" w:uiPriority="39" w:qFormat="1"/>
    <w:lsdException w:name="toc 4" w:locked="0" w:uiPriority="39" w:qFormat="1"/>
    <w:lsdException w:name="toc 5" w:uiPriority="39"/>
    <w:lsdException w:name="toc 6" w:uiPriority="39"/>
    <w:lsdException w:name="toc 7" w:uiPriority="39"/>
    <w:lsdException w:name="toc 8" w:uiPriority="39"/>
    <w:lsdException w:name="toc 9" w:uiPriority="39"/>
    <w:lsdException w:name="footnote text" w:locked="0" w:uiPriority="0" w:qFormat="1"/>
    <w:lsdException w:name="header" w:locked="0" w:qFormat="1"/>
    <w:lsdException w:name="footer" w:locked="0" w:qFormat="1"/>
    <w:lsdException w:name="caption" w:locked="0" w:uiPriority="3" w:qFormat="1"/>
    <w:lsdException w:name="table of figures" w:locked="0"/>
    <w:lsdException w:name="footnote reference" w:locked="0" w:uiPriority="0"/>
    <w:lsdException w:name="Title" w:semiHidden="0" w:uiPriority="10" w:unhideWhenUsed="0" w:qFormat="1"/>
    <w:lsdException w:name="Default Paragraph Font" w:locked="0" w:uiPriority="1"/>
    <w:lsdException w:name="Subtitle" w:uiPriority="11" w:unhideWhenUsed="0"/>
    <w:lsdException w:name="Date" w:qFormat="1"/>
    <w:lsdException w:name="Body Text First Indent" w:qFormat="1"/>
    <w:lsdException w:name="Note Heading" w:uiPriority="13" w:qFormat="1"/>
    <w:lsdException w:name="Body Text Indent 3" w:qFormat="1"/>
    <w:lsdException w:name="Hyperlink" w:locked="0" w:qFormat="1"/>
    <w:lsdException w:name="Strong" w:uiPriority="22" w:unhideWhenUsed="0" w:qFormat="1"/>
    <w:lsdException w:name="Emphasis" w:locked="0" w:semiHidden="0" w:uiPriority="5"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14"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semiHidden="0" w:uiPriority="21" w:unhideWhenUsed="0" w:qFormat="1"/>
    <w:lsdException w:name="Subtle Reference" w:uiPriority="31" w:unhideWhenUsed="0" w:qFormat="1"/>
    <w:lsdException w:name="Intense Reference" w:semiHidden="0" w:uiPriority="32" w:unhideWhenUsed="0"/>
    <w:lsdException w:name="Book Title" w:uiPriority="33" w:unhideWhenUsed="0"/>
    <w:lsdException w:name="Bibliography" w:uiPriority="37"/>
    <w:lsdException w:name="TOC Heading" w:locked="0" w:uiPriority="23" w:qFormat="1"/>
  </w:latentStyles>
  <w:style w:type="paragraph" w:default="1" w:styleId="Normal">
    <w:name w:val="Normal"/>
    <w:qFormat/>
    <w:rsid w:val="00C7266E"/>
    <w:pPr>
      <w:spacing w:line="300" w:lineRule="atLeast"/>
    </w:pPr>
  </w:style>
  <w:style w:type="paragraph" w:styleId="Heading1">
    <w:name w:val="heading 1"/>
    <w:basedOn w:val="Normal"/>
    <w:next w:val="Left05Indent"/>
    <w:link w:val="Heading1Char"/>
    <w:autoRedefine/>
    <w:uiPriority w:val="1"/>
    <w:qFormat/>
    <w:rsid w:val="00AE3413"/>
    <w:pPr>
      <w:keepNext/>
      <w:keepLines/>
      <w:numPr>
        <w:numId w:val="9"/>
      </w:numPr>
      <w:pBdr>
        <w:bottom w:val="single" w:sz="8" w:space="1" w:color="A6A6A6" w:themeColor="background1" w:themeShade="A6"/>
      </w:pBdr>
      <w:spacing w:after="120" w:line="380" w:lineRule="atLeast"/>
      <w:outlineLvl w:val="0"/>
    </w:pPr>
    <w:rPr>
      <w:rFonts w:asciiTheme="majorHAnsi" w:eastAsiaTheme="majorEastAsia" w:hAnsiTheme="majorHAnsi" w:cstheme="majorBidi"/>
      <w:b/>
      <w:bCs/>
      <w:color w:val="1396D8"/>
      <w:sz w:val="32"/>
      <w:szCs w:val="28"/>
    </w:rPr>
  </w:style>
  <w:style w:type="paragraph" w:styleId="Heading2">
    <w:name w:val="heading 2"/>
    <w:next w:val="Normal"/>
    <w:link w:val="Heading2Char"/>
    <w:autoRedefine/>
    <w:uiPriority w:val="1"/>
    <w:qFormat/>
    <w:rsid w:val="00BD07B7"/>
    <w:pPr>
      <w:keepNext/>
      <w:keepLines/>
      <w:spacing w:before="200" w:after="0"/>
      <w:outlineLvl w:val="1"/>
    </w:pPr>
    <w:rPr>
      <w:rFonts w:eastAsiaTheme="majorEastAsia" w:cstheme="majorBidi"/>
      <w:b/>
      <w:color w:val="1396D8"/>
      <w:sz w:val="28"/>
      <w:szCs w:val="26"/>
    </w:rPr>
  </w:style>
  <w:style w:type="paragraph" w:styleId="Heading3">
    <w:name w:val="heading 3"/>
    <w:basedOn w:val="Heading2"/>
    <w:next w:val="Normal"/>
    <w:link w:val="Heading3Char"/>
    <w:autoRedefine/>
    <w:uiPriority w:val="1"/>
    <w:qFormat/>
    <w:rsid w:val="00FD7CDC"/>
    <w:pPr>
      <w:outlineLvl w:val="2"/>
    </w:pPr>
    <w:rPr>
      <w:rFonts w:asciiTheme="majorHAnsi" w:hAnsiTheme="majorHAnsi"/>
      <w:bCs/>
      <w:i/>
      <w:color w:val="595959" w:themeColor="text1" w:themeTint="A6"/>
      <w:sz w:val="24"/>
    </w:rPr>
  </w:style>
  <w:style w:type="paragraph" w:styleId="Heading4">
    <w:name w:val="heading 4"/>
    <w:basedOn w:val="Heading3"/>
    <w:next w:val="Normal"/>
    <w:link w:val="Heading4Char"/>
    <w:autoRedefine/>
    <w:uiPriority w:val="1"/>
    <w:qFormat/>
    <w:rsid w:val="00065D6C"/>
    <w:pPr>
      <w:numPr>
        <w:ilvl w:val="3"/>
      </w:numPr>
      <w:outlineLvl w:val="3"/>
    </w:pPr>
    <w:rPr>
      <w:rFonts w:asciiTheme="minorHAnsi" w:hAnsiTheme="minorHAnsi"/>
      <w:bCs w:val="0"/>
      <w:i w:val="0"/>
      <w:iCs/>
    </w:rPr>
  </w:style>
  <w:style w:type="paragraph" w:styleId="Heading5">
    <w:name w:val="heading 5"/>
    <w:basedOn w:val="Heading4"/>
    <w:next w:val="Normal"/>
    <w:link w:val="Heading5Char"/>
    <w:uiPriority w:val="9"/>
    <w:semiHidden/>
    <w:locked/>
    <w:rsid w:val="00112A69"/>
    <w:pPr>
      <w:numPr>
        <w:ilvl w:val="4"/>
      </w:numPr>
      <w:outlineLvl w:val="4"/>
    </w:pPr>
    <w:rPr>
      <w:sz w:val="20"/>
    </w:rPr>
  </w:style>
  <w:style w:type="paragraph" w:styleId="Heading6">
    <w:name w:val="heading 6"/>
    <w:basedOn w:val="Heading5"/>
    <w:next w:val="Normal"/>
    <w:link w:val="Heading6Char"/>
    <w:autoRedefine/>
    <w:uiPriority w:val="9"/>
    <w:semiHidden/>
    <w:locked/>
    <w:rsid w:val="00112A69"/>
    <w:pPr>
      <w:numPr>
        <w:ilvl w:val="5"/>
      </w:numPr>
      <w:outlineLvl w:val="5"/>
    </w:pPr>
    <w:rPr>
      <w:iCs w:val="0"/>
      <w:color w:val="666666"/>
    </w:rPr>
  </w:style>
  <w:style w:type="paragraph" w:styleId="Heading7">
    <w:name w:val="heading 7"/>
    <w:basedOn w:val="Normal"/>
    <w:next w:val="Normal"/>
    <w:link w:val="Heading7Char"/>
    <w:uiPriority w:val="9"/>
    <w:semiHidden/>
    <w:locked/>
    <w:rsid w:val="00112A6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locked/>
    <w:rsid w:val="00112A69"/>
    <w:pPr>
      <w:keepNext/>
      <w:keepLines/>
      <w:numPr>
        <w:ilvl w:val="7"/>
        <w:numId w:val="4"/>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locked/>
    <w:rsid w:val="00112A69"/>
    <w:pPr>
      <w:keepNext/>
      <w:keepLines/>
      <w:numPr>
        <w:ilvl w:val="8"/>
        <w:numId w:val="4"/>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ft05Indent">
    <w:name w:val="Left 0.5&quot; Indent"/>
    <w:basedOn w:val="BodyTextFirstIndent"/>
    <w:autoRedefine/>
    <w:semiHidden/>
    <w:qFormat/>
    <w:locked/>
    <w:rsid w:val="001C718B"/>
    <w:pPr>
      <w:ind w:left="360"/>
      <w:jc w:val="both"/>
    </w:pPr>
    <w:rPr>
      <w:rFonts w:cs="Arial"/>
    </w:rPr>
  </w:style>
  <w:style w:type="paragraph" w:styleId="BodyTextFirstIndent">
    <w:name w:val="Body Text First Indent"/>
    <w:aliases w:val="Style Left 0.5"/>
    <w:basedOn w:val="BodyText"/>
    <w:link w:val="BodyTextFirstIndentChar"/>
    <w:autoRedefine/>
    <w:uiPriority w:val="99"/>
    <w:semiHidden/>
    <w:qFormat/>
    <w:locked/>
    <w:rsid w:val="00112A69"/>
    <w:pPr>
      <w:spacing w:after="200"/>
      <w:ind w:left="720"/>
    </w:pPr>
  </w:style>
  <w:style w:type="paragraph" w:styleId="BodyText">
    <w:name w:val="Body Text"/>
    <w:basedOn w:val="Normal"/>
    <w:link w:val="BodyTextChar"/>
    <w:uiPriority w:val="99"/>
    <w:semiHidden/>
    <w:unhideWhenUsed/>
    <w:locked/>
    <w:rsid w:val="00015DA7"/>
    <w:pPr>
      <w:spacing w:after="120"/>
    </w:pPr>
  </w:style>
  <w:style w:type="character" w:customStyle="1" w:styleId="BodyTextChar">
    <w:name w:val="Body Text Char"/>
    <w:basedOn w:val="DefaultParagraphFont"/>
    <w:link w:val="BodyText"/>
    <w:rsid w:val="00015DA7"/>
    <w:rPr>
      <w:sz w:val="20"/>
    </w:rPr>
  </w:style>
  <w:style w:type="character" w:customStyle="1" w:styleId="BodyTextFirstIndentChar">
    <w:name w:val="Body Text First Indent Char"/>
    <w:aliases w:val="Style Left 0.5 Char"/>
    <w:basedOn w:val="BodyTextChar"/>
    <w:link w:val="BodyTextFirstIndent"/>
    <w:uiPriority w:val="99"/>
    <w:semiHidden/>
    <w:rsid w:val="00E03CE6"/>
  </w:style>
  <w:style w:type="character" w:customStyle="1" w:styleId="Heading1Char">
    <w:name w:val="Heading 1 Char"/>
    <w:basedOn w:val="DefaultParagraphFont"/>
    <w:link w:val="Heading1"/>
    <w:uiPriority w:val="1"/>
    <w:rsid w:val="00AE3413"/>
    <w:rPr>
      <w:rFonts w:asciiTheme="majorHAnsi" w:eastAsiaTheme="majorEastAsia" w:hAnsiTheme="majorHAnsi" w:cstheme="majorBidi"/>
      <w:b/>
      <w:bCs/>
      <w:color w:val="1396D8"/>
      <w:sz w:val="32"/>
      <w:szCs w:val="28"/>
    </w:rPr>
  </w:style>
  <w:style w:type="character" w:customStyle="1" w:styleId="Heading2Char">
    <w:name w:val="Heading 2 Char"/>
    <w:basedOn w:val="DefaultParagraphFont"/>
    <w:link w:val="Heading2"/>
    <w:uiPriority w:val="1"/>
    <w:rsid w:val="00BD07B7"/>
    <w:rPr>
      <w:rFonts w:eastAsiaTheme="majorEastAsia" w:cstheme="majorBidi"/>
      <w:b/>
      <w:color w:val="1396D8"/>
      <w:sz w:val="28"/>
      <w:szCs w:val="26"/>
    </w:rPr>
  </w:style>
  <w:style w:type="character" w:customStyle="1" w:styleId="Heading3Char">
    <w:name w:val="Heading 3 Char"/>
    <w:basedOn w:val="DefaultParagraphFont"/>
    <w:link w:val="Heading3"/>
    <w:uiPriority w:val="1"/>
    <w:rsid w:val="00FD7CDC"/>
    <w:rPr>
      <w:rFonts w:asciiTheme="majorHAnsi" w:eastAsiaTheme="majorEastAsia" w:hAnsiTheme="majorHAnsi" w:cstheme="majorBidi"/>
      <w:b/>
      <w:bCs/>
      <w:i/>
      <w:color w:val="595959" w:themeColor="text1" w:themeTint="A6"/>
      <w:sz w:val="24"/>
      <w:szCs w:val="26"/>
    </w:rPr>
  </w:style>
  <w:style w:type="character" w:customStyle="1" w:styleId="Heading4Char">
    <w:name w:val="Heading 4 Char"/>
    <w:basedOn w:val="DefaultParagraphFont"/>
    <w:link w:val="Heading4"/>
    <w:uiPriority w:val="1"/>
    <w:rsid w:val="00065D6C"/>
    <w:rPr>
      <w:rFonts w:eastAsiaTheme="majorEastAsia" w:cstheme="majorBidi"/>
      <w:b/>
      <w:iCs/>
      <w:color w:val="595959" w:themeColor="text1" w:themeTint="A6"/>
      <w:sz w:val="24"/>
      <w:szCs w:val="26"/>
    </w:rPr>
  </w:style>
  <w:style w:type="character" w:customStyle="1" w:styleId="Heading5Char">
    <w:name w:val="Heading 5 Char"/>
    <w:basedOn w:val="DefaultParagraphFont"/>
    <w:link w:val="Heading5"/>
    <w:uiPriority w:val="9"/>
    <w:semiHidden/>
    <w:rsid w:val="00D55243"/>
    <w:rPr>
      <w:rFonts w:eastAsiaTheme="majorEastAsia" w:cstheme="majorBidi"/>
      <w:b/>
      <w:i/>
      <w:iCs/>
      <w:color w:val="595959" w:themeColor="text1" w:themeTint="A6"/>
      <w:szCs w:val="26"/>
    </w:rPr>
  </w:style>
  <w:style w:type="character" w:customStyle="1" w:styleId="Heading6Char">
    <w:name w:val="Heading 6 Char"/>
    <w:basedOn w:val="DefaultParagraphFont"/>
    <w:link w:val="Heading6"/>
    <w:uiPriority w:val="9"/>
    <w:semiHidden/>
    <w:rsid w:val="00D55243"/>
    <w:rPr>
      <w:rFonts w:eastAsiaTheme="majorEastAsia" w:cstheme="majorBidi"/>
      <w:b/>
      <w:i/>
      <w:color w:val="666666"/>
      <w:szCs w:val="26"/>
    </w:rPr>
  </w:style>
  <w:style w:type="character" w:customStyle="1" w:styleId="Heading7Char">
    <w:name w:val="Heading 7 Char"/>
    <w:basedOn w:val="DefaultParagraphFont"/>
    <w:link w:val="Heading7"/>
    <w:uiPriority w:val="9"/>
    <w:semiHidden/>
    <w:rsid w:val="00D552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524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D55243"/>
    <w:rPr>
      <w:rFonts w:asciiTheme="majorHAnsi" w:eastAsiaTheme="majorEastAsia" w:hAnsiTheme="majorHAnsi" w:cstheme="majorBidi"/>
      <w:i/>
      <w:iCs/>
      <w:color w:val="404040" w:themeColor="text1" w:themeTint="BF"/>
    </w:rPr>
  </w:style>
  <w:style w:type="paragraph" w:styleId="NoSpacing">
    <w:name w:val="No Spacing"/>
    <w:uiPriority w:val="1"/>
    <w:qFormat/>
    <w:rsid w:val="00112A69"/>
    <w:pPr>
      <w:spacing w:after="0"/>
      <w:jc w:val="both"/>
    </w:pPr>
  </w:style>
  <w:style w:type="paragraph" w:styleId="Caption">
    <w:name w:val="caption"/>
    <w:basedOn w:val="Normal"/>
    <w:next w:val="Normal"/>
    <w:autoRedefine/>
    <w:uiPriority w:val="3"/>
    <w:qFormat/>
    <w:rsid w:val="005170D3"/>
    <w:pPr>
      <w:keepNext/>
      <w:spacing w:before="140" w:after="80" w:line="240" w:lineRule="auto"/>
    </w:pPr>
    <w:rPr>
      <w:b/>
      <w:bCs/>
      <w:color w:val="1396D8"/>
      <w:szCs w:val="18"/>
    </w:rPr>
  </w:style>
  <w:style w:type="paragraph" w:styleId="Header">
    <w:name w:val="header"/>
    <w:basedOn w:val="Normal"/>
    <w:link w:val="HeaderChar"/>
    <w:autoRedefine/>
    <w:uiPriority w:val="99"/>
    <w:qFormat/>
    <w:rsid w:val="00041909"/>
    <w:pPr>
      <w:pBdr>
        <w:bottom w:val="single" w:sz="6" w:space="1" w:color="666666"/>
      </w:pBdr>
      <w:tabs>
        <w:tab w:val="center" w:pos="4680"/>
        <w:tab w:val="right" w:pos="9360"/>
      </w:tabs>
      <w:spacing w:after="0" w:line="240" w:lineRule="auto"/>
      <w:jc w:val="right"/>
    </w:pPr>
    <w:rPr>
      <w:i/>
    </w:rPr>
  </w:style>
  <w:style w:type="character" w:customStyle="1" w:styleId="HeaderChar">
    <w:name w:val="Header Char"/>
    <w:basedOn w:val="DefaultParagraphFont"/>
    <w:link w:val="Header"/>
    <w:uiPriority w:val="99"/>
    <w:rsid w:val="00041909"/>
    <w:rPr>
      <w:i/>
    </w:rPr>
  </w:style>
  <w:style w:type="paragraph" w:styleId="Footer">
    <w:name w:val="footer"/>
    <w:basedOn w:val="Normal"/>
    <w:link w:val="FooterChar"/>
    <w:autoRedefine/>
    <w:uiPriority w:val="99"/>
    <w:qFormat/>
    <w:rsid w:val="00760677"/>
    <w:pPr>
      <w:tabs>
        <w:tab w:val="center" w:pos="2160"/>
        <w:tab w:val="right" w:pos="9720"/>
      </w:tabs>
      <w:spacing w:after="0" w:line="240" w:lineRule="auto"/>
      <w:ind w:left="3600" w:hanging="3600"/>
    </w:pPr>
    <w:rPr>
      <w:sz w:val="16"/>
    </w:rPr>
  </w:style>
  <w:style w:type="character" w:customStyle="1" w:styleId="FooterChar">
    <w:name w:val="Footer Char"/>
    <w:basedOn w:val="DefaultParagraphFont"/>
    <w:link w:val="Footer"/>
    <w:uiPriority w:val="99"/>
    <w:rsid w:val="00760677"/>
    <w:rPr>
      <w:sz w:val="16"/>
    </w:rPr>
  </w:style>
  <w:style w:type="paragraph" w:styleId="NoteHeading">
    <w:name w:val="Note Heading"/>
    <w:aliases w:val="Note 1"/>
    <w:basedOn w:val="Normal"/>
    <w:next w:val="Normal"/>
    <w:link w:val="NoteHeadingChar"/>
    <w:uiPriority w:val="13"/>
    <w:qFormat/>
    <w:locked/>
    <w:rsid w:val="004C277B"/>
    <w:pPr>
      <w:pBdr>
        <w:top w:val="single" w:sz="18" w:space="6" w:color="C4ECFF" w:themeColor="accent1" w:themeTint="33"/>
        <w:left w:val="single" w:sz="18" w:space="10" w:color="C4ECFF" w:themeColor="accent1" w:themeTint="33"/>
        <w:bottom w:val="single" w:sz="18" w:space="6" w:color="C4ECFF" w:themeColor="accent1" w:themeTint="33"/>
        <w:right w:val="single" w:sz="18" w:space="10" w:color="C4ECFF" w:themeColor="accent1" w:themeTint="33"/>
      </w:pBdr>
      <w:shd w:val="clear" w:color="auto" w:fill="C4ECFF" w:themeFill="accent1" w:themeFillTint="33"/>
      <w:spacing w:before="120" w:after="120" w:line="240" w:lineRule="auto"/>
      <w:ind w:left="936" w:right="216"/>
      <w:jc w:val="both"/>
    </w:pPr>
    <w:rPr>
      <w:i/>
      <w:color w:val="0096D7" w:themeColor="accent1"/>
    </w:rPr>
  </w:style>
  <w:style w:type="character" w:customStyle="1" w:styleId="NoteHeadingChar">
    <w:name w:val="Note Heading Char"/>
    <w:aliases w:val="Note 1 Char"/>
    <w:basedOn w:val="DefaultParagraphFont"/>
    <w:link w:val="NoteHeading"/>
    <w:uiPriority w:val="13"/>
    <w:rsid w:val="004C277B"/>
    <w:rPr>
      <w:i/>
      <w:color w:val="0096D7" w:themeColor="accent1"/>
      <w:szCs w:val="22"/>
      <w:shd w:val="clear" w:color="auto" w:fill="C4ECFF" w:themeFill="accent1" w:themeFillTint="33"/>
    </w:rPr>
  </w:style>
  <w:style w:type="character" w:styleId="PageNumber">
    <w:name w:val="page number"/>
    <w:uiPriority w:val="99"/>
    <w:semiHidden/>
    <w:locked/>
    <w:rsid w:val="00112A69"/>
    <w:rPr>
      <w:rFonts w:eastAsiaTheme="minorEastAsia" w:cs="Arial"/>
      <w:sz w:val="16"/>
      <w:szCs w:val="16"/>
    </w:rPr>
  </w:style>
  <w:style w:type="character" w:styleId="Hyperlink">
    <w:name w:val="Hyperlink"/>
    <w:basedOn w:val="DefaultParagraphFont"/>
    <w:uiPriority w:val="99"/>
    <w:qFormat/>
    <w:rsid w:val="00677C5F"/>
    <w:rPr>
      <w:rFonts w:asciiTheme="minorHAnsi" w:hAnsiTheme="minorHAnsi"/>
      <w:color w:val="1396D8"/>
      <w:u w:val="single"/>
    </w:rPr>
  </w:style>
  <w:style w:type="paragraph" w:customStyle="1" w:styleId="Link">
    <w:name w:val="Link"/>
    <w:basedOn w:val="Normal"/>
    <w:link w:val="LinkChar"/>
    <w:autoRedefine/>
    <w:uiPriority w:val="11"/>
    <w:qFormat/>
    <w:rsid w:val="00112A69"/>
    <w:pPr>
      <w:spacing w:after="0" w:line="240" w:lineRule="auto"/>
    </w:pPr>
    <w:rPr>
      <w:rFonts w:eastAsia="Times New Roman" w:cs="Times New Roman"/>
      <w:color w:val="1396D8"/>
      <w:szCs w:val="24"/>
      <w:u w:val="single"/>
    </w:rPr>
  </w:style>
  <w:style w:type="character" w:customStyle="1" w:styleId="LinkChar">
    <w:name w:val="Link Char"/>
    <w:basedOn w:val="DefaultParagraphFont"/>
    <w:link w:val="Link"/>
    <w:uiPriority w:val="11"/>
    <w:rsid w:val="00D55243"/>
    <w:rPr>
      <w:rFonts w:eastAsia="Times New Roman" w:cs="Times New Roman"/>
      <w:color w:val="1396D8"/>
      <w:szCs w:val="24"/>
      <w:u w:val="single"/>
    </w:rPr>
  </w:style>
  <w:style w:type="character" w:styleId="IntenseReference">
    <w:name w:val="Intense Reference"/>
    <w:aliases w:val="Note 1 Bold"/>
    <w:basedOn w:val="DefaultParagraphFont"/>
    <w:uiPriority w:val="32"/>
    <w:locked/>
    <w:rsid w:val="00112A69"/>
    <w:rPr>
      <w:rFonts w:asciiTheme="minorHAnsi" w:hAnsiTheme="minorHAnsi"/>
      <w:b/>
      <w:bCs/>
      <w:smallCaps/>
      <w:color w:val="BD732A" w:themeColor="accent2"/>
      <w:spacing w:val="5"/>
      <w:sz w:val="20"/>
      <w:u w:val="none"/>
    </w:rPr>
  </w:style>
  <w:style w:type="paragraph" w:customStyle="1" w:styleId="BoldNote1">
    <w:name w:val="Bold Note 1"/>
    <w:basedOn w:val="NoteHeading"/>
    <w:uiPriority w:val="14"/>
    <w:qFormat/>
    <w:rsid w:val="00112A69"/>
    <w:rPr>
      <w:b/>
    </w:rPr>
  </w:style>
  <w:style w:type="paragraph" w:styleId="Quote">
    <w:name w:val="Quote"/>
    <w:basedOn w:val="Normal"/>
    <w:next w:val="Normal"/>
    <w:link w:val="QuoteChar"/>
    <w:uiPriority w:val="14"/>
    <w:qFormat/>
    <w:rsid w:val="00112A69"/>
    <w:pPr>
      <w:ind w:left="720" w:right="720"/>
    </w:pPr>
    <w:rPr>
      <w:iCs/>
      <w:color w:val="000000" w:themeColor="text1"/>
    </w:rPr>
  </w:style>
  <w:style w:type="character" w:customStyle="1" w:styleId="QuoteChar">
    <w:name w:val="Quote Char"/>
    <w:basedOn w:val="DefaultParagraphFont"/>
    <w:link w:val="Quote"/>
    <w:uiPriority w:val="14"/>
    <w:rsid w:val="00D55243"/>
    <w:rPr>
      <w:iCs/>
      <w:color w:val="000000" w:themeColor="text1"/>
    </w:rPr>
  </w:style>
  <w:style w:type="character" w:styleId="IntenseEmphasis">
    <w:name w:val="Intense Emphasis"/>
    <w:basedOn w:val="DefaultParagraphFont"/>
    <w:uiPriority w:val="5"/>
    <w:qFormat/>
    <w:locked/>
    <w:rsid w:val="00112A69"/>
    <w:rPr>
      <w:rFonts w:asciiTheme="minorHAnsi" w:hAnsiTheme="minorHAnsi"/>
      <w:b/>
      <w:bCs/>
      <w:i/>
      <w:iCs/>
      <w:color w:val="1396D8"/>
      <w:sz w:val="20"/>
    </w:rPr>
  </w:style>
  <w:style w:type="character" w:styleId="Emphasis">
    <w:name w:val="Emphasis"/>
    <w:basedOn w:val="DefaultParagraphFont"/>
    <w:uiPriority w:val="5"/>
    <w:qFormat/>
    <w:rsid w:val="00F80AF1"/>
    <w:rPr>
      <w:rFonts w:asciiTheme="minorHAnsi" w:hAnsiTheme="minorHAnsi"/>
      <w:b/>
      <w:iCs/>
      <w:sz w:val="22"/>
    </w:rPr>
  </w:style>
  <w:style w:type="paragraph" w:styleId="NormalWeb">
    <w:name w:val="Normal (Web)"/>
    <w:basedOn w:val="Normal"/>
    <w:uiPriority w:val="99"/>
    <w:unhideWhenUsed/>
    <w:locked/>
    <w:rsid w:val="00015DA7"/>
    <w:pPr>
      <w:spacing w:after="292" w:line="292" w:lineRule="atLeast"/>
    </w:pPr>
    <w:rPr>
      <w:rFonts w:ascii="Times New Roman" w:eastAsia="Times New Roman" w:hAnsi="Times New Roman" w:cs="Times New Roman"/>
      <w:sz w:val="23"/>
      <w:szCs w:val="23"/>
    </w:rPr>
  </w:style>
  <w:style w:type="paragraph" w:styleId="ListParagraph">
    <w:name w:val="List Paragraph"/>
    <w:basedOn w:val="Normal"/>
    <w:autoRedefine/>
    <w:uiPriority w:val="34"/>
    <w:qFormat/>
    <w:rsid w:val="00F80AF1"/>
    <w:pPr>
      <w:numPr>
        <w:numId w:val="2"/>
      </w:numPr>
      <w:ind w:left="720"/>
      <w:contextualSpacing/>
    </w:pPr>
  </w:style>
  <w:style w:type="paragraph" w:styleId="TOCHeading">
    <w:name w:val="TOC Heading"/>
    <w:basedOn w:val="Heading1"/>
    <w:next w:val="Normal"/>
    <w:autoRedefine/>
    <w:uiPriority w:val="23"/>
    <w:qFormat/>
    <w:rsid w:val="005B2B58"/>
    <w:pPr>
      <w:numPr>
        <w:numId w:val="0"/>
      </w:numPr>
      <w:pBdr>
        <w:bottom w:val="single" w:sz="4" w:space="1" w:color="BFBFBF" w:themeColor="background1" w:themeShade="BF"/>
      </w:pBdr>
      <w:spacing w:before="480" w:line="240" w:lineRule="auto"/>
      <w:outlineLvl w:val="9"/>
    </w:pPr>
    <w:rPr>
      <w:color w:val="0096D7" w:themeColor="accent1"/>
    </w:rPr>
  </w:style>
  <w:style w:type="paragraph" w:styleId="TOC1">
    <w:name w:val="toc 1"/>
    <w:basedOn w:val="Normal"/>
    <w:next w:val="Normal"/>
    <w:autoRedefine/>
    <w:uiPriority w:val="39"/>
    <w:qFormat/>
    <w:rsid w:val="00047C08"/>
    <w:pPr>
      <w:tabs>
        <w:tab w:val="left" w:pos="400"/>
        <w:tab w:val="right" w:leader="dot" w:pos="9350"/>
      </w:tabs>
      <w:spacing w:after="100"/>
    </w:pPr>
    <w:rPr>
      <w:color w:val="000000" w:themeColor="text1"/>
    </w:rPr>
  </w:style>
  <w:style w:type="paragraph" w:styleId="TOC2">
    <w:name w:val="toc 2"/>
    <w:basedOn w:val="TOC1"/>
    <w:next w:val="Normal"/>
    <w:autoRedefine/>
    <w:uiPriority w:val="39"/>
    <w:qFormat/>
    <w:rsid w:val="00227E4B"/>
    <w:pPr>
      <w:ind w:left="288"/>
    </w:pPr>
  </w:style>
  <w:style w:type="paragraph" w:styleId="TOC3">
    <w:name w:val="toc 3"/>
    <w:basedOn w:val="TOC2"/>
    <w:next w:val="Normal"/>
    <w:autoRedefine/>
    <w:uiPriority w:val="39"/>
    <w:qFormat/>
    <w:rsid w:val="00047C08"/>
    <w:pPr>
      <w:ind w:left="648"/>
    </w:pPr>
  </w:style>
  <w:style w:type="paragraph" w:styleId="BalloonText">
    <w:name w:val="Balloon Text"/>
    <w:basedOn w:val="Normal"/>
    <w:link w:val="BalloonTextChar"/>
    <w:uiPriority w:val="99"/>
    <w:semiHidden/>
    <w:locked/>
    <w:rsid w:val="00901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243"/>
    <w:rPr>
      <w:rFonts w:ascii="Tahoma" w:hAnsi="Tahoma" w:cs="Tahoma"/>
      <w:sz w:val="16"/>
      <w:szCs w:val="16"/>
    </w:rPr>
  </w:style>
  <w:style w:type="paragraph" w:customStyle="1" w:styleId="Boxtext">
    <w:name w:val="Box text"/>
    <w:basedOn w:val="BodyText"/>
    <w:uiPriority w:val="2"/>
    <w:qFormat/>
    <w:rsid w:val="00112A69"/>
    <w:pPr>
      <w:pBdr>
        <w:top w:val="single" w:sz="4" w:space="2" w:color="auto"/>
        <w:left w:val="single" w:sz="4" w:space="4" w:color="auto"/>
        <w:bottom w:val="single" w:sz="4" w:space="4" w:color="auto"/>
        <w:right w:val="single" w:sz="4" w:space="4" w:color="auto"/>
      </w:pBdr>
      <w:spacing w:before="120" w:after="80"/>
    </w:pPr>
    <w:rPr>
      <w:rFonts w:eastAsiaTheme="minorEastAsia" w:cs="Times New Roman"/>
    </w:rPr>
  </w:style>
  <w:style w:type="paragraph" w:styleId="BodyTextIndent3">
    <w:name w:val="Body Text Indent 3"/>
    <w:aliases w:val="Table Text .25 ndent"/>
    <w:basedOn w:val="Normal"/>
    <w:link w:val="BodyTextIndent3Char"/>
    <w:autoRedefine/>
    <w:uiPriority w:val="99"/>
    <w:semiHidden/>
    <w:qFormat/>
    <w:locked/>
    <w:rsid w:val="00112A69"/>
    <w:pPr>
      <w:framePr w:hSpace="180" w:wrap="around" w:vAnchor="text" w:hAnchor="margin" w:y="110"/>
      <w:spacing w:before="60" w:after="0" w:line="240" w:lineRule="auto"/>
      <w:ind w:left="187"/>
    </w:pPr>
    <w:rPr>
      <w:rFonts w:ascii="Arial" w:eastAsiaTheme="minorEastAsia" w:hAnsi="Arial" w:cs="Arial"/>
      <w:color w:val="000000"/>
      <w:sz w:val="16"/>
      <w:szCs w:val="16"/>
    </w:rPr>
  </w:style>
  <w:style w:type="character" w:customStyle="1" w:styleId="BodyTextIndent3Char">
    <w:name w:val="Body Text Indent 3 Char"/>
    <w:aliases w:val="Table Text .25 ndent Char"/>
    <w:basedOn w:val="DefaultParagraphFont"/>
    <w:link w:val="BodyTextIndent3"/>
    <w:uiPriority w:val="99"/>
    <w:semiHidden/>
    <w:rsid w:val="00E03CE6"/>
    <w:rPr>
      <w:rFonts w:ascii="Arial" w:eastAsiaTheme="minorEastAsia" w:hAnsi="Arial" w:cs="Arial"/>
      <w:color w:val="000000"/>
      <w:sz w:val="16"/>
      <w:szCs w:val="16"/>
    </w:rPr>
  </w:style>
  <w:style w:type="paragraph" w:styleId="FootnoteText">
    <w:name w:val="footnote text"/>
    <w:basedOn w:val="Normal"/>
    <w:link w:val="FootnoteTextChar"/>
    <w:autoRedefine/>
    <w:qFormat/>
    <w:rsid w:val="00143EC0"/>
    <w:pPr>
      <w:spacing w:after="0" w:line="240" w:lineRule="atLeast"/>
      <w:contextualSpacing/>
    </w:pPr>
    <w:rPr>
      <w:sz w:val="18"/>
    </w:rPr>
  </w:style>
  <w:style w:type="character" w:customStyle="1" w:styleId="FootnoteTextChar">
    <w:name w:val="Footnote Text Char"/>
    <w:basedOn w:val="DefaultParagraphFont"/>
    <w:link w:val="FootnoteText"/>
    <w:uiPriority w:val="99"/>
    <w:rsid w:val="00143EC0"/>
    <w:rPr>
      <w:sz w:val="18"/>
    </w:rPr>
  </w:style>
  <w:style w:type="character" w:styleId="FootnoteReference">
    <w:name w:val="footnote reference"/>
    <w:basedOn w:val="DefaultParagraphFont"/>
    <w:rsid w:val="00965A44"/>
    <w:rPr>
      <w:vertAlign w:val="superscript"/>
    </w:rPr>
  </w:style>
  <w:style w:type="paragraph" w:styleId="List">
    <w:name w:val="List"/>
    <w:basedOn w:val="Normal"/>
    <w:uiPriority w:val="99"/>
    <w:semiHidden/>
    <w:locked/>
    <w:rsid w:val="00112A69"/>
    <w:pPr>
      <w:ind w:left="360" w:hanging="360"/>
      <w:contextualSpacing/>
    </w:pPr>
  </w:style>
  <w:style w:type="paragraph" w:styleId="List2">
    <w:name w:val="List 2"/>
    <w:basedOn w:val="Normal"/>
    <w:uiPriority w:val="99"/>
    <w:semiHidden/>
    <w:locked/>
    <w:rsid w:val="00112A69"/>
    <w:pPr>
      <w:ind w:left="720" w:hanging="360"/>
      <w:contextualSpacing/>
    </w:pPr>
  </w:style>
  <w:style w:type="paragraph" w:styleId="List3">
    <w:name w:val="List 3"/>
    <w:basedOn w:val="Normal"/>
    <w:uiPriority w:val="99"/>
    <w:semiHidden/>
    <w:locked/>
    <w:rsid w:val="00112A69"/>
    <w:pPr>
      <w:ind w:left="1080" w:hanging="360"/>
      <w:contextualSpacing/>
    </w:pPr>
  </w:style>
  <w:style w:type="paragraph" w:styleId="List4">
    <w:name w:val="List 4"/>
    <w:basedOn w:val="Normal"/>
    <w:uiPriority w:val="99"/>
    <w:semiHidden/>
    <w:locked/>
    <w:rsid w:val="00112A69"/>
    <w:pPr>
      <w:ind w:left="1440" w:hanging="360"/>
      <w:contextualSpacing/>
    </w:pPr>
  </w:style>
  <w:style w:type="paragraph" w:styleId="List5">
    <w:name w:val="List 5"/>
    <w:basedOn w:val="Normal"/>
    <w:uiPriority w:val="99"/>
    <w:semiHidden/>
    <w:locked/>
    <w:rsid w:val="00112A69"/>
    <w:pPr>
      <w:ind w:left="1800" w:hanging="360"/>
      <w:contextualSpacing/>
    </w:pPr>
  </w:style>
  <w:style w:type="paragraph" w:styleId="ListBullet">
    <w:name w:val="List Bullet"/>
    <w:basedOn w:val="Normal"/>
    <w:uiPriority w:val="99"/>
    <w:semiHidden/>
    <w:locked/>
    <w:rsid w:val="00112A69"/>
    <w:pPr>
      <w:numPr>
        <w:numId w:val="5"/>
      </w:numPr>
      <w:contextualSpacing/>
    </w:pPr>
  </w:style>
  <w:style w:type="paragraph" w:styleId="ListBullet2">
    <w:name w:val="List Bullet 2"/>
    <w:basedOn w:val="Normal"/>
    <w:uiPriority w:val="99"/>
    <w:semiHidden/>
    <w:locked/>
    <w:rsid w:val="00112A69"/>
    <w:pPr>
      <w:numPr>
        <w:numId w:val="6"/>
      </w:numPr>
      <w:contextualSpacing/>
    </w:pPr>
  </w:style>
  <w:style w:type="paragraph" w:styleId="ListBullet3">
    <w:name w:val="List Bullet 3"/>
    <w:basedOn w:val="Normal"/>
    <w:uiPriority w:val="99"/>
    <w:semiHidden/>
    <w:locked/>
    <w:rsid w:val="00112A69"/>
    <w:pPr>
      <w:numPr>
        <w:numId w:val="7"/>
      </w:numPr>
      <w:contextualSpacing/>
    </w:pPr>
  </w:style>
  <w:style w:type="paragraph" w:styleId="ListBullet4">
    <w:name w:val="List Bullet 4"/>
    <w:basedOn w:val="Normal"/>
    <w:uiPriority w:val="99"/>
    <w:semiHidden/>
    <w:locked/>
    <w:rsid w:val="00112A69"/>
    <w:pPr>
      <w:numPr>
        <w:numId w:val="8"/>
      </w:numPr>
      <w:contextualSpacing/>
    </w:pPr>
  </w:style>
  <w:style w:type="paragraph" w:styleId="ListContinue2">
    <w:name w:val="List Continue 2"/>
    <w:basedOn w:val="Normal"/>
    <w:uiPriority w:val="99"/>
    <w:semiHidden/>
    <w:locked/>
    <w:rsid w:val="00112A69"/>
    <w:pPr>
      <w:spacing w:after="120"/>
      <w:ind w:left="720"/>
      <w:contextualSpacing/>
    </w:pPr>
  </w:style>
  <w:style w:type="paragraph" w:styleId="ListContinue4">
    <w:name w:val="List Continue 4"/>
    <w:basedOn w:val="Normal"/>
    <w:uiPriority w:val="99"/>
    <w:semiHidden/>
    <w:locked/>
    <w:rsid w:val="00112A69"/>
    <w:pPr>
      <w:spacing w:after="120"/>
      <w:ind w:left="1440"/>
      <w:contextualSpacing/>
    </w:pPr>
  </w:style>
  <w:style w:type="character" w:styleId="LineNumber">
    <w:name w:val="line number"/>
    <w:basedOn w:val="DefaultParagraphFont"/>
    <w:uiPriority w:val="99"/>
    <w:semiHidden/>
    <w:locked/>
    <w:rsid w:val="00112A69"/>
  </w:style>
  <w:style w:type="paragraph" w:styleId="Index1">
    <w:name w:val="index 1"/>
    <w:basedOn w:val="Normal"/>
    <w:next w:val="Normal"/>
    <w:autoRedefine/>
    <w:uiPriority w:val="99"/>
    <w:semiHidden/>
    <w:unhideWhenUsed/>
    <w:locked/>
    <w:rsid w:val="00E27661"/>
    <w:pPr>
      <w:spacing w:after="0" w:line="240" w:lineRule="auto"/>
      <w:ind w:left="200" w:hanging="200"/>
    </w:pPr>
  </w:style>
  <w:style w:type="paragraph" w:styleId="IndexHeading">
    <w:name w:val="index heading"/>
    <w:basedOn w:val="Normal"/>
    <w:next w:val="Index1"/>
    <w:uiPriority w:val="99"/>
    <w:semiHidden/>
    <w:locked/>
    <w:rsid w:val="00112A69"/>
    <w:rPr>
      <w:rFonts w:asciiTheme="majorHAnsi" w:eastAsiaTheme="majorEastAsia" w:hAnsiTheme="majorHAnsi" w:cstheme="majorBidi"/>
      <w:b/>
      <w:bCs/>
    </w:rPr>
  </w:style>
  <w:style w:type="paragraph" w:customStyle="1" w:styleId="Text">
    <w:name w:val="Text"/>
    <w:basedOn w:val="BodyTextIndent3"/>
    <w:autoRedefine/>
    <w:uiPriority w:val="99"/>
    <w:semiHidden/>
    <w:qFormat/>
    <w:locked/>
    <w:rsid w:val="00112A69"/>
    <w:pPr>
      <w:framePr w:wrap="around"/>
      <w:ind w:left="180"/>
    </w:pPr>
  </w:style>
  <w:style w:type="paragraph" w:customStyle="1" w:styleId="TableTextIndent25">
    <w:name w:val="Table Text Indent .25"/>
    <w:basedOn w:val="Normal"/>
    <w:next w:val="Normal"/>
    <w:autoRedefine/>
    <w:uiPriority w:val="99"/>
    <w:semiHidden/>
    <w:qFormat/>
    <w:locked/>
    <w:rsid w:val="00112A69"/>
    <w:pPr>
      <w:spacing w:before="60" w:after="0" w:line="240" w:lineRule="auto"/>
      <w:ind w:left="216"/>
    </w:pPr>
    <w:rPr>
      <w:sz w:val="16"/>
    </w:rPr>
  </w:style>
  <w:style w:type="paragraph" w:customStyle="1" w:styleId="BoldTableStyle">
    <w:name w:val="Bold Table Style"/>
    <w:basedOn w:val="Normal"/>
    <w:autoRedefine/>
    <w:semiHidden/>
    <w:qFormat/>
    <w:locked/>
    <w:rsid w:val="00112A69"/>
    <w:pPr>
      <w:framePr w:hSpace="180" w:wrap="around" w:vAnchor="text" w:hAnchor="margin" w:y="110"/>
      <w:spacing w:before="40" w:after="40" w:line="240" w:lineRule="auto"/>
    </w:pPr>
    <w:rPr>
      <w:rFonts w:eastAsiaTheme="minorEastAsia" w:cs="Arial"/>
      <w:b/>
      <w:color w:val="000000"/>
      <w:sz w:val="16"/>
      <w:szCs w:val="16"/>
    </w:rPr>
  </w:style>
  <w:style w:type="paragraph" w:styleId="TOC4">
    <w:name w:val="toc 4"/>
    <w:basedOn w:val="TOC3"/>
    <w:next w:val="Normal"/>
    <w:autoRedefine/>
    <w:uiPriority w:val="39"/>
    <w:qFormat/>
    <w:rsid w:val="00F575F0"/>
    <w:pPr>
      <w:ind w:left="1008"/>
    </w:pPr>
    <w:rPr>
      <w:noProof/>
    </w:rPr>
  </w:style>
  <w:style w:type="paragraph" w:styleId="ListNumber">
    <w:name w:val="List Number"/>
    <w:basedOn w:val="Normal"/>
    <w:uiPriority w:val="20"/>
    <w:locked/>
    <w:rsid w:val="00046593"/>
    <w:pPr>
      <w:numPr>
        <w:numId w:val="1"/>
      </w:numPr>
      <w:contextualSpacing/>
    </w:pPr>
  </w:style>
  <w:style w:type="table" w:customStyle="1" w:styleId="LightShading1">
    <w:name w:val="Light Shading1"/>
    <w:basedOn w:val="TableNormal"/>
    <w:uiPriority w:val="60"/>
    <w:locked/>
    <w:rsid w:val="00A00D71"/>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rsid w:val="002207DF"/>
    <w:pPr>
      <w:spacing w:after="0"/>
    </w:pPr>
  </w:style>
  <w:style w:type="character" w:styleId="PlaceholderText">
    <w:name w:val="Placeholder Text"/>
    <w:basedOn w:val="DefaultParagraphFont"/>
    <w:uiPriority w:val="99"/>
    <w:semiHidden/>
    <w:locked/>
    <w:rsid w:val="002B0FD2"/>
    <w:rPr>
      <w:color w:val="808080"/>
    </w:rPr>
  </w:style>
  <w:style w:type="paragraph" w:styleId="Title">
    <w:name w:val="Title"/>
    <w:basedOn w:val="Normal"/>
    <w:next w:val="Normal"/>
    <w:link w:val="TitleChar"/>
    <w:autoRedefine/>
    <w:uiPriority w:val="99"/>
    <w:semiHidden/>
    <w:qFormat/>
    <w:locked/>
    <w:rsid w:val="002B0FD2"/>
    <w:pPr>
      <w:spacing w:after="360" w:line="240" w:lineRule="auto"/>
      <w:contextualSpacing/>
    </w:pPr>
    <w:rPr>
      <w:rFonts w:asciiTheme="majorHAnsi" w:eastAsiaTheme="majorEastAsia" w:hAnsiTheme="majorHAnsi" w:cstheme="majorBidi"/>
      <w:color w:val="139CD8"/>
      <w:spacing w:val="5"/>
      <w:kern w:val="28"/>
      <w:sz w:val="52"/>
      <w:szCs w:val="52"/>
    </w:rPr>
  </w:style>
  <w:style w:type="character" w:customStyle="1" w:styleId="TitleChar">
    <w:name w:val="Title Char"/>
    <w:basedOn w:val="DefaultParagraphFont"/>
    <w:link w:val="Title"/>
    <w:uiPriority w:val="99"/>
    <w:semiHidden/>
    <w:rsid w:val="00E03CE6"/>
    <w:rPr>
      <w:rFonts w:asciiTheme="majorHAnsi" w:eastAsiaTheme="majorEastAsia" w:hAnsiTheme="majorHAnsi" w:cstheme="majorBidi"/>
      <w:color w:val="139CD8"/>
      <w:spacing w:val="5"/>
      <w:kern w:val="28"/>
      <w:sz w:val="52"/>
      <w:szCs w:val="52"/>
    </w:rPr>
  </w:style>
  <w:style w:type="paragraph" w:styleId="Date">
    <w:name w:val="Date"/>
    <w:basedOn w:val="Normal"/>
    <w:next w:val="Normal"/>
    <w:link w:val="DateChar"/>
    <w:autoRedefine/>
    <w:uiPriority w:val="4"/>
    <w:qFormat/>
    <w:locked/>
    <w:rsid w:val="002B0FD2"/>
    <w:rPr>
      <w:color w:val="7E8E9A"/>
    </w:rPr>
  </w:style>
  <w:style w:type="character" w:customStyle="1" w:styleId="DateChar">
    <w:name w:val="Date Char"/>
    <w:basedOn w:val="DefaultParagraphFont"/>
    <w:link w:val="Date"/>
    <w:uiPriority w:val="4"/>
    <w:rsid w:val="00D55243"/>
    <w:rPr>
      <w:color w:val="7E8E9A"/>
      <w:sz w:val="22"/>
    </w:rPr>
  </w:style>
  <w:style w:type="table" w:styleId="ColorfulList-Accent3">
    <w:name w:val="Colorful List Accent 3"/>
    <w:basedOn w:val="TableNormal"/>
    <w:uiPriority w:val="72"/>
    <w:locked/>
    <w:rsid w:val="00D5524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7E8" w:themeFill="accent3" w:themeFillTint="19"/>
    </w:tcPr>
    <w:tblStylePr w:type="firstRow">
      <w:rPr>
        <w:b/>
        <w:bCs/>
        <w:color w:val="FFFFFF" w:themeColor="background1"/>
      </w:rPr>
      <w:tblPr/>
      <w:tcPr>
        <w:tcBorders>
          <w:bottom w:val="single" w:sz="12" w:space="0" w:color="FFFFFF" w:themeColor="background1"/>
        </w:tcBorders>
        <w:shd w:val="clear" w:color="auto" w:fill="CD9F00" w:themeFill="accent4" w:themeFillShade="CC"/>
      </w:tcPr>
    </w:tblStylePr>
    <w:tblStylePr w:type="lastRow">
      <w:rPr>
        <w:b/>
        <w:bCs/>
        <w:color w:val="CD9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C5" w:themeFill="accent3" w:themeFillTint="3F"/>
      </w:tcPr>
    </w:tblStylePr>
    <w:tblStylePr w:type="band1Horz">
      <w:tblPr/>
      <w:tcPr>
        <w:shd w:val="clear" w:color="auto" w:fill="DDEFD0" w:themeFill="accent3" w:themeFillTint="33"/>
      </w:tcPr>
    </w:tblStylePr>
  </w:style>
  <w:style w:type="table" w:styleId="ColorfulGrid-Accent6">
    <w:name w:val="Colorful Grid Accent 6"/>
    <w:basedOn w:val="TableNormal"/>
    <w:uiPriority w:val="73"/>
    <w:locked/>
    <w:rsid w:val="00D5524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AB2" w:themeFill="accent6" w:themeFillTint="33"/>
    </w:tcPr>
    <w:tblStylePr w:type="firstRow">
      <w:rPr>
        <w:b/>
        <w:bCs/>
      </w:rPr>
      <w:tblPr/>
      <w:tcPr>
        <w:shd w:val="clear" w:color="auto" w:fill="F7D565" w:themeFill="accent6" w:themeFillTint="66"/>
      </w:tcPr>
    </w:tblStylePr>
    <w:tblStylePr w:type="lastRow">
      <w:rPr>
        <w:b/>
        <w:bCs/>
        <w:color w:val="000000" w:themeColor="text1"/>
      </w:rPr>
      <w:tblPr/>
      <w:tcPr>
        <w:shd w:val="clear" w:color="auto" w:fill="F7D565" w:themeFill="accent6" w:themeFillTint="66"/>
      </w:tcPr>
    </w:tblStylePr>
    <w:tblStylePr w:type="firstCol">
      <w:rPr>
        <w:color w:val="FFFFFF" w:themeColor="background1"/>
      </w:rPr>
      <w:tblPr/>
      <w:tcPr>
        <w:shd w:val="clear" w:color="auto" w:fill="4C3B03" w:themeFill="accent6" w:themeFillShade="BF"/>
      </w:tcPr>
    </w:tblStylePr>
    <w:tblStylePr w:type="lastCol">
      <w:rPr>
        <w:color w:val="FFFFFF" w:themeColor="background1"/>
      </w:rPr>
      <w:tblPr/>
      <w:tcPr>
        <w:shd w:val="clear" w:color="auto" w:fill="4C3B03" w:themeFill="accent6" w:themeFillShade="BF"/>
      </w:tcPr>
    </w:tblStylePr>
    <w:tblStylePr w:type="band1Vert">
      <w:tblPr/>
      <w:tcPr>
        <w:shd w:val="clear" w:color="auto" w:fill="F5CB3F" w:themeFill="accent6" w:themeFillTint="7F"/>
      </w:tcPr>
    </w:tblStylePr>
    <w:tblStylePr w:type="band1Horz">
      <w:tblPr/>
      <w:tcPr>
        <w:shd w:val="clear" w:color="auto" w:fill="F5CB3F" w:themeFill="accent6" w:themeFillTint="7F"/>
      </w:tcPr>
    </w:tblStylePr>
  </w:style>
  <w:style w:type="table" w:styleId="TableGrid">
    <w:name w:val="Table Grid"/>
    <w:basedOn w:val="TableNormal"/>
    <w:uiPriority w:val="59"/>
    <w:locked/>
    <w:rsid w:val="00FB08E3"/>
    <w:pPr>
      <w:spacing w:after="0"/>
      <w:jc w:val="right"/>
    </w:pPr>
    <w:rPr>
      <w:sz w:val="18"/>
    </w:rPr>
    <w:tblPr>
      <w:tblStyleRowBandSize w:val="1"/>
      <w:tblStyleColBandSize w:val="1"/>
      <w:tblInd w:w="0" w:type="dxa"/>
      <w:tblCellMar>
        <w:top w:w="0" w:type="dxa"/>
        <w:left w:w="108" w:type="dxa"/>
        <w:bottom w:w="0" w:type="dxa"/>
        <w:right w:w="108" w:type="dxa"/>
      </w:tblCellMar>
    </w:tblPr>
    <w:tblStylePr w:type="firstRow">
      <w:pPr>
        <w:jc w:val="right"/>
      </w:pPr>
      <w:rPr>
        <w:b/>
      </w:rPr>
      <w:tblPr/>
      <w:tcPr>
        <w:tcBorders>
          <w:bottom w:val="single" w:sz="18" w:space="0" w:color="0096D7" w:themeColor="accent1"/>
        </w:tcBorders>
        <w:vAlign w:val="bottom"/>
      </w:tcPr>
    </w:tblStylePr>
    <w:tblStylePr w:type="lastRow">
      <w:rPr>
        <w:b w:val="0"/>
      </w:rPr>
      <w:tblPr/>
      <w:tcPr>
        <w:tcBorders>
          <w:top w:val="single" w:sz="12" w:space="0" w:color="0096D7" w:themeColor="accent1"/>
        </w:tcBorders>
      </w:tcPr>
    </w:tblStylePr>
    <w:tblStylePr w:type="firstCol">
      <w:pPr>
        <w:wordWrap/>
        <w:jc w:val="left"/>
      </w:pPr>
    </w:tblStylePr>
    <w:tblStylePr w:type="band1Horz">
      <w:pPr>
        <w:wordWrap/>
        <w:jc w:val="right"/>
      </w:pPr>
      <w:tblPr/>
      <w:tcPr>
        <w:tcBorders>
          <w:bottom w:val="dashed" w:sz="4" w:space="0" w:color="BFBFBF" w:themeColor="background1" w:themeShade="BF"/>
        </w:tcBorders>
      </w:tcPr>
    </w:tblStylePr>
    <w:tblStylePr w:type="band2Horz">
      <w:pPr>
        <w:wordWrap/>
        <w:jc w:val="right"/>
      </w:pPr>
      <w:tblPr/>
      <w:tcPr>
        <w:tcBorders>
          <w:bottom w:val="dashed" w:sz="4" w:space="0" w:color="BFBFBF" w:themeColor="background1" w:themeShade="BF"/>
        </w:tcBorders>
      </w:tcPr>
    </w:tblStylePr>
    <w:tblStylePr w:type="nwCell">
      <w:pPr>
        <w:jc w:val="left"/>
      </w:pPr>
      <w:tblPr/>
      <w:tcPr>
        <w:vAlign w:val="bottom"/>
      </w:tcPr>
    </w:tblStylePr>
  </w:style>
  <w:style w:type="paragraph" w:customStyle="1" w:styleId="Tablefootnotetext">
    <w:name w:val="Table footnote text"/>
    <w:basedOn w:val="FootnoteText"/>
    <w:uiPriority w:val="8"/>
    <w:qFormat/>
    <w:rsid w:val="00E509A9"/>
  </w:style>
  <w:style w:type="character" w:styleId="Strong">
    <w:name w:val="Strong"/>
    <w:basedOn w:val="DefaultParagraphFont"/>
    <w:uiPriority w:val="22"/>
    <w:qFormat/>
    <w:locked/>
    <w:rsid w:val="00677C5F"/>
    <w:rPr>
      <w:b/>
      <w:bCs/>
    </w:rPr>
  </w:style>
  <w:style w:type="paragraph" w:styleId="EndnoteText">
    <w:name w:val="endnote text"/>
    <w:basedOn w:val="Normal"/>
    <w:link w:val="EndnoteTextChar"/>
    <w:uiPriority w:val="99"/>
    <w:semiHidden/>
    <w:unhideWhenUsed/>
    <w:locked/>
    <w:rsid w:val="000B08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08D9"/>
    <w:rPr>
      <w:sz w:val="20"/>
      <w:szCs w:val="20"/>
    </w:rPr>
  </w:style>
  <w:style w:type="character" w:styleId="EndnoteReference">
    <w:name w:val="endnote reference"/>
    <w:basedOn w:val="DefaultParagraphFont"/>
    <w:uiPriority w:val="99"/>
    <w:semiHidden/>
    <w:unhideWhenUsed/>
    <w:locked/>
    <w:rsid w:val="000B08D9"/>
    <w:rPr>
      <w:vertAlign w:val="superscript"/>
    </w:rPr>
  </w:style>
  <w:style w:type="paragraph" w:customStyle="1" w:styleId="heading3notoc">
    <w:name w:val="heading3notoc"/>
    <w:basedOn w:val="Heading5"/>
    <w:qFormat/>
    <w:rsid w:val="00724697"/>
    <w:rPr>
      <w:rFonts w:ascii="Times New Roman" w:hAnsi="Times New Roman"/>
      <w:sz w:val="24"/>
    </w:rPr>
  </w:style>
  <w:style w:type="paragraph" w:customStyle="1" w:styleId="heading2notoc">
    <w:name w:val="heading 2notoc"/>
    <w:basedOn w:val="Heading5"/>
    <w:qFormat/>
    <w:rsid w:val="00EB6496"/>
    <w:rPr>
      <w:color w:val="0096D7" w:themeColor="accent1"/>
      <w:sz w:val="28"/>
    </w:rPr>
  </w:style>
  <w:style w:type="character" w:customStyle="1" w:styleId="Table">
    <w:name w:val="Table"/>
    <w:uiPriority w:val="99"/>
    <w:rsid w:val="008B3446"/>
    <w:rPr>
      <w:rFonts w:ascii="Arial" w:hAnsi="Arial"/>
      <w:b/>
      <w:sz w:val="20"/>
    </w:rPr>
  </w:style>
  <w:style w:type="paragraph" w:styleId="CommentText">
    <w:name w:val="annotation text"/>
    <w:basedOn w:val="Normal"/>
    <w:link w:val="CommentTextChar"/>
    <w:uiPriority w:val="99"/>
    <w:semiHidden/>
    <w:unhideWhenUsed/>
    <w:locked/>
    <w:rsid w:val="00B74575"/>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74575"/>
    <w:rPr>
      <w:rFonts w:ascii="Times New Roman" w:eastAsia="Times New Roman" w:hAnsi="Times New Roman" w:cs="Times New Roman"/>
      <w:sz w:val="20"/>
      <w:szCs w:val="20"/>
    </w:rPr>
  </w:style>
  <w:style w:type="paragraph" w:styleId="TOC7">
    <w:name w:val="toc 7"/>
    <w:basedOn w:val="Normal"/>
    <w:next w:val="Normal"/>
    <w:autoRedefine/>
    <w:uiPriority w:val="39"/>
    <w:semiHidden/>
    <w:unhideWhenUsed/>
    <w:locked/>
    <w:rsid w:val="004E6B88"/>
    <w:pPr>
      <w:spacing w:after="100"/>
      <w:ind w:left="1320"/>
    </w:pPr>
  </w:style>
</w:styles>
</file>

<file path=word/webSettings.xml><?xml version="1.0" encoding="utf-8"?>
<w:webSettings xmlns:r="http://schemas.openxmlformats.org/officeDocument/2006/relationships" xmlns:w="http://schemas.openxmlformats.org/wordprocessingml/2006/main">
  <w:divs>
    <w:div w:id="105077035">
      <w:bodyDiv w:val="1"/>
      <w:marLeft w:val="0"/>
      <w:marRight w:val="0"/>
      <w:marTop w:val="0"/>
      <w:marBottom w:val="0"/>
      <w:divBdr>
        <w:top w:val="none" w:sz="0" w:space="0" w:color="auto"/>
        <w:left w:val="none" w:sz="0" w:space="0" w:color="auto"/>
        <w:bottom w:val="none" w:sz="0" w:space="0" w:color="auto"/>
        <w:right w:val="none" w:sz="0" w:space="0" w:color="auto"/>
      </w:divBdr>
    </w:div>
    <w:div w:id="163906382">
      <w:bodyDiv w:val="1"/>
      <w:marLeft w:val="0"/>
      <w:marRight w:val="0"/>
      <w:marTop w:val="0"/>
      <w:marBottom w:val="0"/>
      <w:divBdr>
        <w:top w:val="none" w:sz="0" w:space="0" w:color="auto"/>
        <w:left w:val="none" w:sz="0" w:space="0" w:color="auto"/>
        <w:bottom w:val="none" w:sz="0" w:space="0" w:color="auto"/>
        <w:right w:val="none" w:sz="0" w:space="0" w:color="auto"/>
      </w:divBdr>
    </w:div>
    <w:div w:id="250704288">
      <w:bodyDiv w:val="1"/>
      <w:marLeft w:val="0"/>
      <w:marRight w:val="0"/>
      <w:marTop w:val="0"/>
      <w:marBottom w:val="0"/>
      <w:divBdr>
        <w:top w:val="none" w:sz="0" w:space="0" w:color="auto"/>
        <w:left w:val="none" w:sz="0" w:space="0" w:color="auto"/>
        <w:bottom w:val="none" w:sz="0" w:space="0" w:color="auto"/>
        <w:right w:val="none" w:sz="0" w:space="0" w:color="auto"/>
      </w:divBdr>
    </w:div>
    <w:div w:id="335571170">
      <w:bodyDiv w:val="1"/>
      <w:marLeft w:val="0"/>
      <w:marRight w:val="0"/>
      <w:marTop w:val="0"/>
      <w:marBottom w:val="0"/>
      <w:divBdr>
        <w:top w:val="none" w:sz="0" w:space="0" w:color="auto"/>
        <w:left w:val="none" w:sz="0" w:space="0" w:color="auto"/>
        <w:bottom w:val="none" w:sz="0" w:space="0" w:color="auto"/>
        <w:right w:val="none" w:sz="0" w:space="0" w:color="auto"/>
      </w:divBdr>
    </w:div>
    <w:div w:id="339814673">
      <w:bodyDiv w:val="1"/>
      <w:marLeft w:val="0"/>
      <w:marRight w:val="0"/>
      <w:marTop w:val="0"/>
      <w:marBottom w:val="0"/>
      <w:divBdr>
        <w:top w:val="none" w:sz="0" w:space="0" w:color="auto"/>
        <w:left w:val="none" w:sz="0" w:space="0" w:color="auto"/>
        <w:bottom w:val="none" w:sz="0" w:space="0" w:color="auto"/>
        <w:right w:val="none" w:sz="0" w:space="0" w:color="auto"/>
      </w:divBdr>
    </w:div>
    <w:div w:id="343021889">
      <w:bodyDiv w:val="1"/>
      <w:marLeft w:val="0"/>
      <w:marRight w:val="0"/>
      <w:marTop w:val="0"/>
      <w:marBottom w:val="0"/>
      <w:divBdr>
        <w:top w:val="none" w:sz="0" w:space="0" w:color="auto"/>
        <w:left w:val="none" w:sz="0" w:space="0" w:color="auto"/>
        <w:bottom w:val="none" w:sz="0" w:space="0" w:color="auto"/>
        <w:right w:val="none" w:sz="0" w:space="0" w:color="auto"/>
      </w:divBdr>
    </w:div>
    <w:div w:id="364253291">
      <w:bodyDiv w:val="1"/>
      <w:marLeft w:val="0"/>
      <w:marRight w:val="0"/>
      <w:marTop w:val="0"/>
      <w:marBottom w:val="0"/>
      <w:divBdr>
        <w:top w:val="none" w:sz="0" w:space="0" w:color="auto"/>
        <w:left w:val="none" w:sz="0" w:space="0" w:color="auto"/>
        <w:bottom w:val="none" w:sz="0" w:space="0" w:color="auto"/>
        <w:right w:val="none" w:sz="0" w:space="0" w:color="auto"/>
      </w:divBdr>
    </w:div>
    <w:div w:id="443424165">
      <w:bodyDiv w:val="1"/>
      <w:marLeft w:val="0"/>
      <w:marRight w:val="0"/>
      <w:marTop w:val="0"/>
      <w:marBottom w:val="0"/>
      <w:divBdr>
        <w:top w:val="none" w:sz="0" w:space="0" w:color="auto"/>
        <w:left w:val="none" w:sz="0" w:space="0" w:color="auto"/>
        <w:bottom w:val="none" w:sz="0" w:space="0" w:color="auto"/>
        <w:right w:val="none" w:sz="0" w:space="0" w:color="auto"/>
      </w:divBdr>
    </w:div>
    <w:div w:id="468868123">
      <w:bodyDiv w:val="1"/>
      <w:marLeft w:val="0"/>
      <w:marRight w:val="0"/>
      <w:marTop w:val="0"/>
      <w:marBottom w:val="0"/>
      <w:divBdr>
        <w:top w:val="none" w:sz="0" w:space="0" w:color="auto"/>
        <w:left w:val="none" w:sz="0" w:space="0" w:color="auto"/>
        <w:bottom w:val="none" w:sz="0" w:space="0" w:color="auto"/>
        <w:right w:val="none" w:sz="0" w:space="0" w:color="auto"/>
      </w:divBdr>
    </w:div>
    <w:div w:id="479076218">
      <w:bodyDiv w:val="1"/>
      <w:marLeft w:val="0"/>
      <w:marRight w:val="0"/>
      <w:marTop w:val="0"/>
      <w:marBottom w:val="0"/>
      <w:divBdr>
        <w:top w:val="none" w:sz="0" w:space="0" w:color="auto"/>
        <w:left w:val="none" w:sz="0" w:space="0" w:color="auto"/>
        <w:bottom w:val="none" w:sz="0" w:space="0" w:color="auto"/>
        <w:right w:val="none" w:sz="0" w:space="0" w:color="auto"/>
      </w:divBdr>
      <w:divsChild>
        <w:div w:id="866480587">
          <w:marLeft w:val="0"/>
          <w:marRight w:val="0"/>
          <w:marTop w:val="0"/>
          <w:marBottom w:val="0"/>
          <w:divBdr>
            <w:top w:val="none" w:sz="0" w:space="0" w:color="auto"/>
            <w:left w:val="none" w:sz="0" w:space="0" w:color="auto"/>
            <w:bottom w:val="none" w:sz="0" w:space="0" w:color="auto"/>
            <w:right w:val="none" w:sz="0" w:space="0" w:color="auto"/>
          </w:divBdr>
          <w:divsChild>
            <w:div w:id="1725057898">
              <w:marLeft w:val="0"/>
              <w:marRight w:val="0"/>
              <w:marTop w:val="125"/>
              <w:marBottom w:val="0"/>
              <w:divBdr>
                <w:top w:val="single" w:sz="8" w:space="6" w:color="666666"/>
                <w:left w:val="none" w:sz="0" w:space="0" w:color="auto"/>
                <w:bottom w:val="none" w:sz="0" w:space="0" w:color="auto"/>
                <w:right w:val="none" w:sz="0" w:space="0" w:color="auto"/>
              </w:divBdr>
            </w:div>
          </w:divsChild>
        </w:div>
      </w:divsChild>
    </w:div>
    <w:div w:id="523061490">
      <w:bodyDiv w:val="1"/>
      <w:marLeft w:val="0"/>
      <w:marRight w:val="0"/>
      <w:marTop w:val="0"/>
      <w:marBottom w:val="0"/>
      <w:divBdr>
        <w:top w:val="none" w:sz="0" w:space="0" w:color="auto"/>
        <w:left w:val="none" w:sz="0" w:space="0" w:color="auto"/>
        <w:bottom w:val="none" w:sz="0" w:space="0" w:color="auto"/>
        <w:right w:val="none" w:sz="0" w:space="0" w:color="auto"/>
      </w:divBdr>
    </w:div>
    <w:div w:id="571240497">
      <w:bodyDiv w:val="1"/>
      <w:marLeft w:val="0"/>
      <w:marRight w:val="0"/>
      <w:marTop w:val="0"/>
      <w:marBottom w:val="0"/>
      <w:divBdr>
        <w:top w:val="none" w:sz="0" w:space="0" w:color="auto"/>
        <w:left w:val="none" w:sz="0" w:space="0" w:color="auto"/>
        <w:bottom w:val="none" w:sz="0" w:space="0" w:color="auto"/>
        <w:right w:val="none" w:sz="0" w:space="0" w:color="auto"/>
      </w:divBdr>
    </w:div>
    <w:div w:id="577128761">
      <w:bodyDiv w:val="1"/>
      <w:marLeft w:val="0"/>
      <w:marRight w:val="0"/>
      <w:marTop w:val="0"/>
      <w:marBottom w:val="0"/>
      <w:divBdr>
        <w:top w:val="none" w:sz="0" w:space="0" w:color="auto"/>
        <w:left w:val="none" w:sz="0" w:space="0" w:color="auto"/>
        <w:bottom w:val="none" w:sz="0" w:space="0" w:color="auto"/>
        <w:right w:val="none" w:sz="0" w:space="0" w:color="auto"/>
      </w:divBdr>
    </w:div>
    <w:div w:id="603344179">
      <w:bodyDiv w:val="1"/>
      <w:marLeft w:val="0"/>
      <w:marRight w:val="0"/>
      <w:marTop w:val="0"/>
      <w:marBottom w:val="0"/>
      <w:divBdr>
        <w:top w:val="none" w:sz="0" w:space="0" w:color="auto"/>
        <w:left w:val="none" w:sz="0" w:space="0" w:color="auto"/>
        <w:bottom w:val="none" w:sz="0" w:space="0" w:color="auto"/>
        <w:right w:val="none" w:sz="0" w:space="0" w:color="auto"/>
      </w:divBdr>
    </w:div>
    <w:div w:id="637802979">
      <w:bodyDiv w:val="1"/>
      <w:marLeft w:val="0"/>
      <w:marRight w:val="0"/>
      <w:marTop w:val="0"/>
      <w:marBottom w:val="0"/>
      <w:divBdr>
        <w:top w:val="none" w:sz="0" w:space="0" w:color="auto"/>
        <w:left w:val="none" w:sz="0" w:space="0" w:color="auto"/>
        <w:bottom w:val="none" w:sz="0" w:space="0" w:color="auto"/>
        <w:right w:val="none" w:sz="0" w:space="0" w:color="auto"/>
      </w:divBdr>
    </w:div>
    <w:div w:id="741760865">
      <w:bodyDiv w:val="1"/>
      <w:marLeft w:val="0"/>
      <w:marRight w:val="0"/>
      <w:marTop w:val="0"/>
      <w:marBottom w:val="0"/>
      <w:divBdr>
        <w:top w:val="none" w:sz="0" w:space="0" w:color="auto"/>
        <w:left w:val="none" w:sz="0" w:space="0" w:color="auto"/>
        <w:bottom w:val="none" w:sz="0" w:space="0" w:color="auto"/>
        <w:right w:val="none" w:sz="0" w:space="0" w:color="auto"/>
      </w:divBdr>
    </w:div>
    <w:div w:id="800999263">
      <w:bodyDiv w:val="1"/>
      <w:marLeft w:val="0"/>
      <w:marRight w:val="0"/>
      <w:marTop w:val="0"/>
      <w:marBottom w:val="0"/>
      <w:divBdr>
        <w:top w:val="none" w:sz="0" w:space="0" w:color="auto"/>
        <w:left w:val="none" w:sz="0" w:space="0" w:color="auto"/>
        <w:bottom w:val="none" w:sz="0" w:space="0" w:color="auto"/>
        <w:right w:val="none" w:sz="0" w:space="0" w:color="auto"/>
      </w:divBdr>
    </w:div>
    <w:div w:id="802045184">
      <w:bodyDiv w:val="1"/>
      <w:marLeft w:val="0"/>
      <w:marRight w:val="0"/>
      <w:marTop w:val="0"/>
      <w:marBottom w:val="0"/>
      <w:divBdr>
        <w:top w:val="none" w:sz="0" w:space="0" w:color="auto"/>
        <w:left w:val="none" w:sz="0" w:space="0" w:color="auto"/>
        <w:bottom w:val="none" w:sz="0" w:space="0" w:color="auto"/>
        <w:right w:val="none" w:sz="0" w:space="0" w:color="auto"/>
      </w:divBdr>
    </w:div>
    <w:div w:id="806044680">
      <w:bodyDiv w:val="1"/>
      <w:marLeft w:val="0"/>
      <w:marRight w:val="0"/>
      <w:marTop w:val="0"/>
      <w:marBottom w:val="0"/>
      <w:divBdr>
        <w:top w:val="none" w:sz="0" w:space="0" w:color="auto"/>
        <w:left w:val="none" w:sz="0" w:space="0" w:color="auto"/>
        <w:bottom w:val="none" w:sz="0" w:space="0" w:color="auto"/>
        <w:right w:val="none" w:sz="0" w:space="0" w:color="auto"/>
      </w:divBdr>
    </w:div>
    <w:div w:id="809785599">
      <w:bodyDiv w:val="1"/>
      <w:marLeft w:val="0"/>
      <w:marRight w:val="0"/>
      <w:marTop w:val="0"/>
      <w:marBottom w:val="0"/>
      <w:divBdr>
        <w:top w:val="none" w:sz="0" w:space="0" w:color="auto"/>
        <w:left w:val="none" w:sz="0" w:space="0" w:color="auto"/>
        <w:bottom w:val="none" w:sz="0" w:space="0" w:color="auto"/>
        <w:right w:val="none" w:sz="0" w:space="0" w:color="auto"/>
      </w:divBdr>
    </w:div>
    <w:div w:id="884754839">
      <w:bodyDiv w:val="1"/>
      <w:marLeft w:val="0"/>
      <w:marRight w:val="0"/>
      <w:marTop w:val="0"/>
      <w:marBottom w:val="0"/>
      <w:divBdr>
        <w:top w:val="none" w:sz="0" w:space="0" w:color="auto"/>
        <w:left w:val="none" w:sz="0" w:space="0" w:color="auto"/>
        <w:bottom w:val="none" w:sz="0" w:space="0" w:color="auto"/>
        <w:right w:val="none" w:sz="0" w:space="0" w:color="auto"/>
      </w:divBdr>
    </w:div>
    <w:div w:id="890195221">
      <w:bodyDiv w:val="1"/>
      <w:marLeft w:val="0"/>
      <w:marRight w:val="0"/>
      <w:marTop w:val="0"/>
      <w:marBottom w:val="0"/>
      <w:divBdr>
        <w:top w:val="none" w:sz="0" w:space="0" w:color="auto"/>
        <w:left w:val="none" w:sz="0" w:space="0" w:color="auto"/>
        <w:bottom w:val="none" w:sz="0" w:space="0" w:color="auto"/>
        <w:right w:val="none" w:sz="0" w:space="0" w:color="auto"/>
      </w:divBdr>
    </w:div>
    <w:div w:id="962074558">
      <w:bodyDiv w:val="1"/>
      <w:marLeft w:val="0"/>
      <w:marRight w:val="0"/>
      <w:marTop w:val="0"/>
      <w:marBottom w:val="0"/>
      <w:divBdr>
        <w:top w:val="none" w:sz="0" w:space="0" w:color="auto"/>
        <w:left w:val="none" w:sz="0" w:space="0" w:color="auto"/>
        <w:bottom w:val="none" w:sz="0" w:space="0" w:color="auto"/>
        <w:right w:val="none" w:sz="0" w:space="0" w:color="auto"/>
      </w:divBdr>
    </w:div>
    <w:div w:id="1193618531">
      <w:bodyDiv w:val="1"/>
      <w:marLeft w:val="0"/>
      <w:marRight w:val="0"/>
      <w:marTop w:val="0"/>
      <w:marBottom w:val="0"/>
      <w:divBdr>
        <w:top w:val="none" w:sz="0" w:space="0" w:color="auto"/>
        <w:left w:val="none" w:sz="0" w:space="0" w:color="auto"/>
        <w:bottom w:val="none" w:sz="0" w:space="0" w:color="auto"/>
        <w:right w:val="none" w:sz="0" w:space="0" w:color="auto"/>
      </w:divBdr>
    </w:div>
    <w:div w:id="1241672674">
      <w:bodyDiv w:val="1"/>
      <w:marLeft w:val="0"/>
      <w:marRight w:val="0"/>
      <w:marTop w:val="0"/>
      <w:marBottom w:val="0"/>
      <w:divBdr>
        <w:top w:val="none" w:sz="0" w:space="0" w:color="auto"/>
        <w:left w:val="none" w:sz="0" w:space="0" w:color="auto"/>
        <w:bottom w:val="none" w:sz="0" w:space="0" w:color="auto"/>
        <w:right w:val="none" w:sz="0" w:space="0" w:color="auto"/>
      </w:divBdr>
    </w:div>
    <w:div w:id="1249660238">
      <w:bodyDiv w:val="1"/>
      <w:marLeft w:val="0"/>
      <w:marRight w:val="0"/>
      <w:marTop w:val="0"/>
      <w:marBottom w:val="0"/>
      <w:divBdr>
        <w:top w:val="none" w:sz="0" w:space="0" w:color="auto"/>
        <w:left w:val="none" w:sz="0" w:space="0" w:color="auto"/>
        <w:bottom w:val="none" w:sz="0" w:space="0" w:color="auto"/>
        <w:right w:val="none" w:sz="0" w:space="0" w:color="auto"/>
      </w:divBdr>
    </w:div>
    <w:div w:id="1308437928">
      <w:bodyDiv w:val="1"/>
      <w:marLeft w:val="0"/>
      <w:marRight w:val="0"/>
      <w:marTop w:val="0"/>
      <w:marBottom w:val="0"/>
      <w:divBdr>
        <w:top w:val="none" w:sz="0" w:space="0" w:color="auto"/>
        <w:left w:val="none" w:sz="0" w:space="0" w:color="auto"/>
        <w:bottom w:val="none" w:sz="0" w:space="0" w:color="auto"/>
        <w:right w:val="none" w:sz="0" w:space="0" w:color="auto"/>
      </w:divBdr>
    </w:div>
    <w:div w:id="1345211228">
      <w:bodyDiv w:val="1"/>
      <w:marLeft w:val="0"/>
      <w:marRight w:val="0"/>
      <w:marTop w:val="0"/>
      <w:marBottom w:val="0"/>
      <w:divBdr>
        <w:top w:val="none" w:sz="0" w:space="0" w:color="auto"/>
        <w:left w:val="none" w:sz="0" w:space="0" w:color="auto"/>
        <w:bottom w:val="none" w:sz="0" w:space="0" w:color="auto"/>
        <w:right w:val="none" w:sz="0" w:space="0" w:color="auto"/>
      </w:divBdr>
    </w:div>
    <w:div w:id="1382097448">
      <w:bodyDiv w:val="1"/>
      <w:marLeft w:val="0"/>
      <w:marRight w:val="0"/>
      <w:marTop w:val="0"/>
      <w:marBottom w:val="0"/>
      <w:divBdr>
        <w:top w:val="none" w:sz="0" w:space="0" w:color="auto"/>
        <w:left w:val="none" w:sz="0" w:space="0" w:color="auto"/>
        <w:bottom w:val="none" w:sz="0" w:space="0" w:color="auto"/>
        <w:right w:val="none" w:sz="0" w:space="0" w:color="auto"/>
      </w:divBdr>
    </w:div>
    <w:div w:id="1390759981">
      <w:bodyDiv w:val="1"/>
      <w:marLeft w:val="0"/>
      <w:marRight w:val="0"/>
      <w:marTop w:val="0"/>
      <w:marBottom w:val="0"/>
      <w:divBdr>
        <w:top w:val="none" w:sz="0" w:space="0" w:color="auto"/>
        <w:left w:val="none" w:sz="0" w:space="0" w:color="auto"/>
        <w:bottom w:val="none" w:sz="0" w:space="0" w:color="auto"/>
        <w:right w:val="none" w:sz="0" w:space="0" w:color="auto"/>
      </w:divBdr>
    </w:div>
    <w:div w:id="1535968415">
      <w:bodyDiv w:val="1"/>
      <w:marLeft w:val="0"/>
      <w:marRight w:val="0"/>
      <w:marTop w:val="0"/>
      <w:marBottom w:val="0"/>
      <w:divBdr>
        <w:top w:val="none" w:sz="0" w:space="0" w:color="auto"/>
        <w:left w:val="none" w:sz="0" w:space="0" w:color="auto"/>
        <w:bottom w:val="none" w:sz="0" w:space="0" w:color="auto"/>
        <w:right w:val="none" w:sz="0" w:space="0" w:color="auto"/>
      </w:divBdr>
    </w:div>
    <w:div w:id="1615743633">
      <w:bodyDiv w:val="1"/>
      <w:marLeft w:val="0"/>
      <w:marRight w:val="0"/>
      <w:marTop w:val="0"/>
      <w:marBottom w:val="0"/>
      <w:divBdr>
        <w:top w:val="none" w:sz="0" w:space="0" w:color="auto"/>
        <w:left w:val="none" w:sz="0" w:space="0" w:color="auto"/>
        <w:bottom w:val="none" w:sz="0" w:space="0" w:color="auto"/>
        <w:right w:val="none" w:sz="0" w:space="0" w:color="auto"/>
      </w:divBdr>
    </w:div>
    <w:div w:id="1655571971">
      <w:bodyDiv w:val="1"/>
      <w:marLeft w:val="0"/>
      <w:marRight w:val="0"/>
      <w:marTop w:val="0"/>
      <w:marBottom w:val="0"/>
      <w:divBdr>
        <w:top w:val="none" w:sz="0" w:space="0" w:color="auto"/>
        <w:left w:val="none" w:sz="0" w:space="0" w:color="auto"/>
        <w:bottom w:val="none" w:sz="0" w:space="0" w:color="auto"/>
        <w:right w:val="none" w:sz="0" w:space="0" w:color="auto"/>
      </w:divBdr>
    </w:div>
    <w:div w:id="1715544069">
      <w:bodyDiv w:val="1"/>
      <w:marLeft w:val="0"/>
      <w:marRight w:val="0"/>
      <w:marTop w:val="0"/>
      <w:marBottom w:val="0"/>
      <w:divBdr>
        <w:top w:val="none" w:sz="0" w:space="0" w:color="auto"/>
        <w:left w:val="none" w:sz="0" w:space="0" w:color="auto"/>
        <w:bottom w:val="none" w:sz="0" w:space="0" w:color="auto"/>
        <w:right w:val="none" w:sz="0" w:space="0" w:color="auto"/>
      </w:divBdr>
    </w:div>
    <w:div w:id="1722944065">
      <w:bodyDiv w:val="1"/>
      <w:marLeft w:val="0"/>
      <w:marRight w:val="0"/>
      <w:marTop w:val="0"/>
      <w:marBottom w:val="0"/>
      <w:divBdr>
        <w:top w:val="none" w:sz="0" w:space="0" w:color="auto"/>
        <w:left w:val="none" w:sz="0" w:space="0" w:color="auto"/>
        <w:bottom w:val="none" w:sz="0" w:space="0" w:color="auto"/>
        <w:right w:val="none" w:sz="0" w:space="0" w:color="auto"/>
      </w:divBdr>
    </w:div>
    <w:div w:id="1732581147">
      <w:bodyDiv w:val="1"/>
      <w:marLeft w:val="0"/>
      <w:marRight w:val="0"/>
      <w:marTop w:val="0"/>
      <w:marBottom w:val="0"/>
      <w:divBdr>
        <w:top w:val="none" w:sz="0" w:space="0" w:color="auto"/>
        <w:left w:val="none" w:sz="0" w:space="0" w:color="auto"/>
        <w:bottom w:val="none" w:sz="0" w:space="0" w:color="auto"/>
        <w:right w:val="none" w:sz="0" w:space="0" w:color="auto"/>
      </w:divBdr>
    </w:div>
    <w:div w:id="1771194752">
      <w:bodyDiv w:val="1"/>
      <w:marLeft w:val="0"/>
      <w:marRight w:val="0"/>
      <w:marTop w:val="0"/>
      <w:marBottom w:val="0"/>
      <w:divBdr>
        <w:top w:val="none" w:sz="0" w:space="0" w:color="auto"/>
        <w:left w:val="none" w:sz="0" w:space="0" w:color="auto"/>
        <w:bottom w:val="none" w:sz="0" w:space="0" w:color="auto"/>
        <w:right w:val="none" w:sz="0" w:space="0" w:color="auto"/>
      </w:divBdr>
    </w:div>
    <w:div w:id="1790667053">
      <w:bodyDiv w:val="1"/>
      <w:marLeft w:val="0"/>
      <w:marRight w:val="0"/>
      <w:marTop w:val="0"/>
      <w:marBottom w:val="0"/>
      <w:divBdr>
        <w:top w:val="none" w:sz="0" w:space="0" w:color="auto"/>
        <w:left w:val="none" w:sz="0" w:space="0" w:color="auto"/>
        <w:bottom w:val="none" w:sz="0" w:space="0" w:color="auto"/>
        <w:right w:val="none" w:sz="0" w:space="0" w:color="auto"/>
      </w:divBdr>
    </w:div>
    <w:div w:id="1793356520">
      <w:bodyDiv w:val="1"/>
      <w:marLeft w:val="0"/>
      <w:marRight w:val="0"/>
      <w:marTop w:val="0"/>
      <w:marBottom w:val="0"/>
      <w:divBdr>
        <w:top w:val="none" w:sz="0" w:space="0" w:color="auto"/>
        <w:left w:val="none" w:sz="0" w:space="0" w:color="auto"/>
        <w:bottom w:val="none" w:sz="0" w:space="0" w:color="auto"/>
        <w:right w:val="none" w:sz="0" w:space="0" w:color="auto"/>
      </w:divBdr>
    </w:div>
    <w:div w:id="1878622013">
      <w:bodyDiv w:val="1"/>
      <w:marLeft w:val="0"/>
      <w:marRight w:val="0"/>
      <w:marTop w:val="0"/>
      <w:marBottom w:val="0"/>
      <w:divBdr>
        <w:top w:val="none" w:sz="0" w:space="0" w:color="auto"/>
        <w:left w:val="none" w:sz="0" w:space="0" w:color="auto"/>
        <w:bottom w:val="none" w:sz="0" w:space="0" w:color="auto"/>
        <w:right w:val="none" w:sz="0" w:space="0" w:color="auto"/>
      </w:divBdr>
    </w:div>
    <w:div w:id="1933469558">
      <w:bodyDiv w:val="1"/>
      <w:marLeft w:val="0"/>
      <w:marRight w:val="0"/>
      <w:marTop w:val="0"/>
      <w:marBottom w:val="0"/>
      <w:divBdr>
        <w:top w:val="none" w:sz="0" w:space="0" w:color="auto"/>
        <w:left w:val="none" w:sz="0" w:space="0" w:color="auto"/>
        <w:bottom w:val="none" w:sz="0" w:space="0" w:color="auto"/>
        <w:right w:val="none" w:sz="0" w:space="0" w:color="auto"/>
      </w:divBdr>
    </w:div>
    <w:div w:id="1948543027">
      <w:bodyDiv w:val="1"/>
      <w:marLeft w:val="0"/>
      <w:marRight w:val="0"/>
      <w:marTop w:val="0"/>
      <w:marBottom w:val="0"/>
      <w:divBdr>
        <w:top w:val="none" w:sz="0" w:space="0" w:color="auto"/>
        <w:left w:val="none" w:sz="0" w:space="0" w:color="auto"/>
        <w:bottom w:val="none" w:sz="0" w:space="0" w:color="auto"/>
        <w:right w:val="none" w:sz="0" w:space="0" w:color="auto"/>
      </w:divBdr>
    </w:div>
    <w:div w:id="1971128916">
      <w:bodyDiv w:val="1"/>
      <w:marLeft w:val="0"/>
      <w:marRight w:val="0"/>
      <w:marTop w:val="0"/>
      <w:marBottom w:val="0"/>
      <w:divBdr>
        <w:top w:val="none" w:sz="0" w:space="0" w:color="auto"/>
        <w:left w:val="none" w:sz="0" w:space="0" w:color="auto"/>
        <w:bottom w:val="none" w:sz="0" w:space="0" w:color="auto"/>
        <w:right w:val="none" w:sz="0" w:space="0" w:color="auto"/>
      </w:divBdr>
    </w:div>
    <w:div w:id="2027442359">
      <w:bodyDiv w:val="1"/>
      <w:marLeft w:val="0"/>
      <w:marRight w:val="0"/>
      <w:marTop w:val="0"/>
      <w:marBottom w:val="0"/>
      <w:divBdr>
        <w:top w:val="none" w:sz="0" w:space="0" w:color="auto"/>
        <w:left w:val="none" w:sz="0" w:space="0" w:color="auto"/>
        <w:bottom w:val="none" w:sz="0" w:space="0" w:color="auto"/>
        <w:right w:val="none" w:sz="0" w:space="0" w:color="auto"/>
      </w:divBdr>
    </w:div>
    <w:div w:id="2033263050">
      <w:bodyDiv w:val="1"/>
      <w:marLeft w:val="0"/>
      <w:marRight w:val="0"/>
      <w:marTop w:val="0"/>
      <w:marBottom w:val="0"/>
      <w:divBdr>
        <w:top w:val="none" w:sz="0" w:space="0" w:color="auto"/>
        <w:left w:val="none" w:sz="0" w:space="0" w:color="auto"/>
        <w:bottom w:val="none" w:sz="0" w:space="0" w:color="auto"/>
        <w:right w:val="none" w:sz="0" w:space="0" w:color="auto"/>
      </w:divBdr>
    </w:div>
    <w:div w:id="207562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7\Application%20Data\Microsoft\Templates\eia_report_template.dotx" TargetMode="External"/></Relationships>
</file>

<file path=word/theme/theme1.xml><?xml version="1.0" encoding="utf-8"?>
<a:theme xmlns:a="http://schemas.openxmlformats.org/drawingml/2006/main" name="eia">
  <a:themeElements>
    <a:clrScheme name="EIA">
      <a:dk1>
        <a:srgbClr val="000000"/>
      </a:dk1>
      <a:lt1>
        <a:srgbClr val="FFFFFF"/>
      </a:lt1>
      <a:dk2>
        <a:srgbClr val="003953"/>
      </a:dk2>
      <a:lt2>
        <a:srgbClr val="333333"/>
      </a:lt2>
      <a:accent1>
        <a:srgbClr val="0096D7"/>
      </a:accent1>
      <a:accent2>
        <a:srgbClr val="BD732A"/>
      </a:accent2>
      <a:accent3>
        <a:srgbClr val="5D9732"/>
      </a:accent3>
      <a:accent4>
        <a:srgbClr val="FFC702"/>
      </a:accent4>
      <a:accent5>
        <a:srgbClr val="A33340"/>
      </a:accent5>
      <a:accent6>
        <a:srgbClr val="675005"/>
      </a:accent6>
      <a:hlink>
        <a:srgbClr val="0096D7"/>
      </a:hlink>
      <a:folHlink>
        <a:srgbClr val="5D9732"/>
      </a:folHlink>
    </a:clrScheme>
    <a:fontScheme name="EIA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a:ln>
              <a:noFill/>
            </a:ln>
            <a:solidFill>
              <a:schemeClr val="tx1"/>
            </a:solidFill>
            <a:effectLst/>
            <a:latin typeface="Arial" pitchFamily="-112" charset="0"/>
            <a:ea typeface="ＭＳ Ｐゴシック" pitchFamily="-112" charset="-128"/>
            <a:cs typeface="ＭＳ Ｐゴシック" pitchFamily="-112"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a:ln>
              <a:noFill/>
            </a:ln>
            <a:solidFill>
              <a:schemeClr val="tx1"/>
            </a:solidFill>
            <a:effectLst/>
            <a:latin typeface="Arial" pitchFamily="-112" charset="0"/>
            <a:ea typeface="ＭＳ Ｐゴシック" pitchFamily="-112" charset="-128"/>
            <a:cs typeface="ＭＳ Ｐゴシック" pitchFamily="-112" charset="-128"/>
          </a:defRPr>
        </a:defPPr>
      </a:lstStyle>
    </a:lnDef>
    <a:txDef>
      <a:spPr bwMode="auto">
        <a:noFill/>
        <a:ln w="9525">
          <a:noFill/>
          <a:miter lim="800000"/>
          <a:headEnd/>
          <a:tailEnd/>
        </a:ln>
      </a:spPr>
      <a:bodyPr lIns="0" tIns="0" rIns="0">
        <a:prstTxWarp prst="textNoShape">
          <a:avLst/>
        </a:prstTxWarp>
      </a:bodyPr>
      <a:lstStyle>
        <a:defPPr eaLnBrk="0" hangingPunct="0">
          <a:defRPr sz="1600" i="1" dirty="0" smtClean="0">
            <a:solidFill>
              <a:srgbClr val="333333"/>
            </a:solidFill>
            <a:latin typeface="Times New Roman" charset="0"/>
            <a:ea typeface="Times New Roman" charset="0"/>
            <a:cs typeface="Times New Roman" charset="0"/>
          </a:defRPr>
        </a:defPPr>
      </a:lstStyle>
    </a:txDef>
  </a:objectDefaults>
  <a:extraClrSchemeLst>
    <a:extraClrScheme>
      <a:clrScheme name="Blank Presentatio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Blank Presentatio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Blank Presentatio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Blank Presentatio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Blank Presentatio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Blank Presentatio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Blank Presentation 7">
        <a:dk1>
          <a:srgbClr val="5C1F00"/>
        </a:dk1>
        <a:lt1>
          <a:srgbClr val="FFFFFF"/>
        </a:lt1>
        <a:dk2>
          <a:srgbClr val="800000"/>
        </a:dk2>
        <a:lt2>
          <a:srgbClr val="DFD293"/>
        </a:lt2>
        <a:accent1>
          <a:srgbClr val="713E39"/>
        </a:accent1>
        <a:accent2>
          <a:srgbClr val="BE7960"/>
        </a:accent2>
        <a:accent3>
          <a:srgbClr val="C0AAAA"/>
        </a:accent3>
        <a:accent4>
          <a:srgbClr val="DADADA"/>
        </a:accent4>
        <a:accent5>
          <a:srgbClr val="BBAFAE"/>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Blank Presentatio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Blank Presentatio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Blank Presentatio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Blank Presentatio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Blank Presentatio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0ED7AB-999E-454F-9F27-D7049FAD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eia_report_template.dotx</Template>
  <TotalTime>21</TotalTime>
  <Pages>5</Pages>
  <Words>1279</Words>
  <Characters>6794</Characters>
  <Application>Microsoft Office Word</Application>
  <DocSecurity>0</DocSecurity>
  <Lines>226</Lines>
  <Paragraphs>122</Paragraphs>
  <ScaleCrop>false</ScaleCrop>
  <HeadingPairs>
    <vt:vector size="2" baseType="variant">
      <vt:variant>
        <vt:lpstr>Title</vt:lpstr>
      </vt:variant>
      <vt:variant>
        <vt:i4>1</vt:i4>
      </vt:variant>
    </vt:vector>
  </HeadingPairs>
  <TitlesOfParts>
    <vt:vector size="1" baseType="lpstr">
      <vt:lpstr>The Electricity Market Module of the National Energy Modeling System Model Documentation 2012</vt:lpstr>
    </vt:vector>
  </TitlesOfParts>
  <Company/>
  <LinksUpToDate>false</LinksUpToDate>
  <CharactersWithSpaces>7951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York/New Jersey Intra Harbor Petroleum Supplies Following Hurricane Sandy: Summary of Impacts Through November 13, 2012</dc:title>
  <dc:subject>Integrating Module of the Natiional Energy Modeling System: Model Documentation 2012</dc:subject>
  <dc:creator>PE7</dc:creator>
  <cp:keywords/>
  <dc:description/>
  <cp:lastModifiedBy>PE7</cp:lastModifiedBy>
  <cp:revision>5</cp:revision>
  <cp:lastPrinted>2012-09-14T16:39:00Z</cp:lastPrinted>
  <dcterms:created xsi:type="dcterms:W3CDTF">2012-11-21T14:44:00Z</dcterms:created>
  <dcterms:modified xsi:type="dcterms:W3CDTF">2012-11-21T15:20:00Z</dcterms:modified>
</cp:coreProperties>
</file>