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4F72"/>
          <w:sz w:val="40"/>
          <w:szCs w:val="40"/>
        </w:rPr>
        <w:t xml:space="preserve">SALES PERFORMANCE ANALYTICS REPORT</w:t>
      </w:r>
    </w:p>
    <w:p>
      <w:pPr>
        <w:spacing w:after="120" w:before="0"/>
        <w:jc w:val="center"/>
      </w:pPr>
      <w:r>
        <w:rPr>
          <w:rFonts w:ascii="Arial" w:cs="Arial" w:eastAsia="Arial" w:hAnsi="Arial"/>
          <w:color w:val="7F8C8D"/>
          <w:sz w:val="24"/>
          <w:szCs w:val="24"/>
        </w:rPr>
        <w:t xml:space="preserve">Multi-Store Retail Sales | Nigeria | 2023–2024</w:t>
      </w:r>
    </w:p>
    <w:p>
      <w:pPr>
        <w:spacing w:after="600" w:before="0"/>
        <w:jc w:val="center"/>
      </w:pPr>
      <w:r>
        <w:rPr>
          <w:rFonts w:ascii="Arial" w:cs="Arial" w:eastAsia="Arial" w:hAnsi="Arial"/>
          <w:i/>
          <w:iCs/>
          <w:color w:val="95A5A6"/>
          <w:sz w:val="22"/>
          <w:szCs w:val="22"/>
        </w:rPr>
        <w:t xml:space="preserve">Power BI Dashboard Business Requirements Document</w:t>
      </w: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1. Problem Statement</w:t>
      </w:r>
    </w:p>
    <w:p>
      <w:pPr>
        <w:spacing w:after="60" w:before="60"/>
      </w:pPr>
      <w:r>
        <w:rPr>
          <w:rFonts w:ascii="Arial" w:cs="Arial" w:eastAsia="Arial" w:hAnsi="Arial"/>
          <w:color w:val="2C3E50"/>
          <w:sz w:val="22"/>
          <w:szCs w:val="22"/>
        </w:rPr>
        <w:t xml:space="preserve">A Nigerian multi-store retail company operates across five (5) stores in four geo-political regions — South-West, North-Central, North-West, and South-South — selling Electronics and Furniture products through four channels: In-Store, Online, Phone, and Partner networks.</w:t>
      </w:r>
    </w:p>
    <w:p>
      <w:pPr>
        <w:spacing w:before="80"/>
      </w:pPr>
    </w:p>
    <w:p>
      <w:pPr>
        <w:spacing w:after="60" w:before="60"/>
      </w:pPr>
      <w:r>
        <w:rPr>
          <w:rFonts w:ascii="Arial" w:cs="Arial" w:eastAsia="Arial" w:hAnsi="Arial"/>
          <w:color w:val="2C3E50"/>
          <w:sz w:val="22"/>
          <w:szCs w:val="22"/>
        </w:rPr>
        <w:t xml:space="preserve">Despite accumulating over 500 sales transactions across 2023 and 2024, the business lacks a centralised analytics framework to answer critical performance questions:</w:t>
      </w:r>
    </w:p>
    <w:p>
      <w:pPr>
        <w:spacing w:before="60"/>
      </w:pPr>
    </w:p>
    <w:p>
      <w:pPr>
        <w:pStyle w:val="ListParagraph"/>
        <w:numPr>
          <w:ilvl w:val="0"/>
          <w:numId w:val="2"/>
        </w:numPr>
        <w:spacing w:after="40" w:before="40"/>
      </w:pPr>
      <w:r>
        <w:rPr>
          <w:rFonts w:ascii="Arial" w:cs="Arial" w:eastAsia="Arial" w:hAnsi="Arial"/>
          <w:color w:val="2C3E50"/>
          <w:sz w:val="22"/>
          <w:szCs w:val="22"/>
        </w:rPr>
        <w:t xml:space="preserve">Which stores and regions are generating the most revenue and profit?</w:t>
      </w:r>
    </w:p>
    <w:p>
      <w:pPr>
        <w:pStyle w:val="ListParagraph"/>
        <w:numPr>
          <w:ilvl w:val="0"/>
          <w:numId w:val="2"/>
        </w:numPr>
        <w:spacing w:after="40" w:before="40"/>
      </w:pPr>
      <w:r>
        <w:rPr>
          <w:rFonts w:ascii="Arial" w:cs="Arial" w:eastAsia="Arial" w:hAnsi="Arial"/>
          <w:color w:val="2C3E50"/>
          <w:sz w:val="22"/>
          <w:szCs w:val="22"/>
        </w:rPr>
        <w:t xml:space="preserve">How do different sales channels compare in terms of volume, revenue, and margin?</w:t>
      </w:r>
    </w:p>
    <w:p>
      <w:pPr>
        <w:pStyle w:val="ListParagraph"/>
        <w:numPr>
          <w:ilvl w:val="0"/>
          <w:numId w:val="2"/>
        </w:numPr>
        <w:spacing w:after="40" w:before="40"/>
      </w:pPr>
      <w:r>
        <w:rPr>
          <w:rFonts w:ascii="Arial" w:cs="Arial" w:eastAsia="Arial" w:hAnsi="Arial"/>
          <w:color w:val="2C3E50"/>
          <w:sz w:val="22"/>
          <w:szCs w:val="22"/>
        </w:rPr>
        <w:t xml:space="preserve">Which product categories and individual SKUs drive the highest profitability?</w:t>
      </w:r>
    </w:p>
    <w:p>
      <w:pPr>
        <w:pStyle w:val="ListParagraph"/>
        <w:numPr>
          <w:ilvl w:val="0"/>
          <w:numId w:val="2"/>
        </w:numPr>
        <w:spacing w:after="40" w:before="40"/>
      </w:pPr>
      <w:r>
        <w:rPr>
          <w:rFonts w:ascii="Arial" w:cs="Arial" w:eastAsia="Arial" w:hAnsi="Arial"/>
          <w:color w:val="2C3E50"/>
          <w:sz w:val="22"/>
          <w:szCs w:val="22"/>
        </w:rPr>
        <w:t xml:space="preserve">What is the year-over-year (YOY) and month-over-month (MOM) revenue growth trajectory?</w:t>
      </w:r>
    </w:p>
    <w:p>
      <w:pPr>
        <w:pStyle w:val="ListParagraph"/>
        <w:numPr>
          <w:ilvl w:val="0"/>
          <w:numId w:val="2"/>
        </w:numPr>
        <w:spacing w:after="40" w:before="40"/>
      </w:pPr>
      <w:r>
        <w:rPr>
          <w:rFonts w:ascii="Arial" w:cs="Arial" w:eastAsia="Arial" w:hAnsi="Arial"/>
          <w:color w:val="2C3E50"/>
          <w:sz w:val="22"/>
          <w:szCs w:val="22"/>
        </w:rPr>
        <w:t xml:space="preserve">Are promotional activities (Bundle, Clearance, Seasonal) delivering positive returns?</w:t>
      </w:r>
    </w:p>
    <w:p>
      <w:pPr>
        <w:pStyle w:val="ListParagraph"/>
        <w:numPr>
          <w:ilvl w:val="0"/>
          <w:numId w:val="2"/>
        </w:numPr>
        <w:spacing w:after="40" w:before="40"/>
      </w:pPr>
      <w:r>
        <w:rPr>
          <w:rFonts w:ascii="Arial" w:cs="Arial" w:eastAsia="Arial" w:hAnsi="Arial"/>
          <w:color w:val="2C3E50"/>
          <w:sz w:val="22"/>
          <w:szCs w:val="22"/>
        </w:rPr>
        <w:t xml:space="preserve">Which customer segments (Corporate vs. Retail) contribute more to long-term value?</w:t>
      </w:r>
    </w:p>
    <w:p>
      <w:pPr>
        <w:spacing w:before="80"/>
      </w:pPr>
    </w:p>
    <w:p>
      <w:pPr>
        <w:spacing w:after="60" w:before="60"/>
      </w:pPr>
      <w:r>
        <w:rPr>
          <w:rFonts w:ascii="Arial" w:cs="Arial" w:eastAsia="Arial" w:hAnsi="Arial"/>
          <w:color w:val="2C3E50"/>
          <w:sz w:val="22"/>
          <w:szCs w:val="22"/>
        </w:rPr>
        <w:t xml:space="preserve">Without visibility into these dimensions, the management team risks misallocating resources, missing high-growth opportunities, and failing to identify underperforming stores or channels before losses compound. A structured Power BI dashboard is required to transform this raw transactional data into actionable intelligence.</w:t>
      </w: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2. Objectives</w:t>
      </w:r>
    </w:p>
    <w:p>
      <w:pPr>
        <w:spacing w:after="60" w:before="60"/>
      </w:pPr>
      <w:r>
        <w:rPr>
          <w:rFonts w:ascii="Arial" w:cs="Arial" w:eastAsia="Arial" w:hAnsi="Arial"/>
          <w:color w:val="2C3E50"/>
          <w:sz w:val="22"/>
          <w:szCs w:val="22"/>
        </w:rPr>
        <w:t xml:space="preserve">This analytics initiative is designed to achieve the following business objectives:</w:t>
      </w:r>
    </w:p>
    <w:p>
      <w:pPr>
        <w:spacing w:before="60"/>
      </w:pPr>
    </w:p>
    <w:p>
      <w:pPr>
        <w:pStyle w:val="ListParagraph"/>
        <w:numPr>
          <w:ilvl w:val="0"/>
          <w:numId w:val="2"/>
        </w:numPr>
        <w:spacing w:after="40" w:before="40"/>
      </w:pPr>
      <w:r>
        <w:rPr>
          <w:rFonts w:ascii="Arial" w:cs="Arial" w:eastAsia="Arial" w:hAnsi="Arial"/>
          <w:color w:val="2C3E50"/>
          <w:sz w:val="22"/>
          <w:szCs w:val="22"/>
        </w:rPr>
        <w:t xml:space="preserve">Consolidate multi-dimensional sales data (transactions, products, customers, stores, dates) into a single Power BI model for real-time analysis.</w:t>
      </w:r>
    </w:p>
    <w:p>
      <w:pPr>
        <w:pStyle w:val="ListParagraph"/>
        <w:numPr>
          <w:ilvl w:val="0"/>
          <w:numId w:val="2"/>
        </w:numPr>
        <w:spacing w:after="40" w:before="40"/>
      </w:pPr>
      <w:r>
        <w:rPr>
          <w:rFonts w:ascii="Arial" w:cs="Arial" w:eastAsia="Arial" w:hAnsi="Arial"/>
          <w:color w:val="2C3E50"/>
          <w:sz w:val="22"/>
          <w:szCs w:val="22"/>
        </w:rPr>
        <w:t xml:space="preserve">Track and visualise Total Revenue, Profit, and Profit Margin across time periods (monthly, quarterly, annual) with YOY and MOM variance calculations.</w:t>
      </w:r>
    </w:p>
    <w:p>
      <w:pPr>
        <w:pStyle w:val="ListParagraph"/>
        <w:numPr>
          <w:ilvl w:val="0"/>
          <w:numId w:val="2"/>
        </w:numPr>
        <w:spacing w:after="40" w:before="40"/>
      </w:pPr>
      <w:r>
        <w:rPr>
          <w:rFonts w:ascii="Arial" w:cs="Arial" w:eastAsia="Arial" w:hAnsi="Arial"/>
          <w:color w:val="2C3E50"/>
          <w:sz w:val="22"/>
          <w:szCs w:val="22"/>
        </w:rPr>
        <w:t xml:space="preserve">Benchmark store and regional performance to identify top-performing locations and growth opportunities in underserved markets.</w:t>
      </w:r>
    </w:p>
    <w:p>
      <w:pPr>
        <w:pStyle w:val="ListParagraph"/>
        <w:numPr>
          <w:ilvl w:val="0"/>
          <w:numId w:val="2"/>
        </w:numPr>
        <w:spacing w:after="40" w:before="40"/>
      </w:pPr>
      <w:r>
        <w:rPr>
          <w:rFonts w:ascii="Arial" w:cs="Arial" w:eastAsia="Arial" w:hAnsi="Arial"/>
          <w:color w:val="2C3E50"/>
          <w:sz w:val="22"/>
          <w:szCs w:val="22"/>
        </w:rPr>
        <w:t xml:space="preserve">Analyse sales channel effectiveness (In-Store, Online, Phone, Partner) to guide channel investment and resource allocation decisions.</w:t>
      </w:r>
    </w:p>
    <w:p>
      <w:pPr>
        <w:pStyle w:val="ListParagraph"/>
        <w:numPr>
          <w:ilvl w:val="0"/>
          <w:numId w:val="2"/>
        </w:numPr>
        <w:spacing w:after="40" w:before="40"/>
      </w:pPr>
      <w:r>
        <w:rPr>
          <w:rFonts w:ascii="Arial" w:cs="Arial" w:eastAsia="Arial" w:hAnsi="Arial"/>
          <w:color w:val="2C3E50"/>
          <w:sz w:val="22"/>
          <w:szCs w:val="22"/>
        </w:rPr>
        <w:t xml:space="preserve">Evaluate promotional campaign ROI by comparing revenue and profit metrics across Bundle, Clearance, Seasonal, and non-promotional transactions.</w:t>
      </w:r>
    </w:p>
    <w:p>
      <w:pPr>
        <w:pStyle w:val="ListParagraph"/>
        <w:numPr>
          <w:ilvl w:val="0"/>
          <w:numId w:val="2"/>
        </w:numPr>
        <w:spacing w:after="40" w:before="40"/>
      </w:pPr>
      <w:r>
        <w:rPr>
          <w:rFonts w:ascii="Arial" w:cs="Arial" w:eastAsia="Arial" w:hAnsi="Arial"/>
          <w:color w:val="2C3E50"/>
          <w:sz w:val="22"/>
          <w:szCs w:val="22"/>
        </w:rPr>
        <w:t xml:space="preserve">Profile customer segments (Corporate vs. Retail) to support targeted marketing, retention strategies, and customer lifetime value improvement.</w:t>
      </w:r>
    </w:p>
    <w:p>
      <w:pPr>
        <w:pStyle w:val="ListParagraph"/>
        <w:numPr>
          <w:ilvl w:val="0"/>
          <w:numId w:val="2"/>
        </w:numPr>
        <w:spacing w:after="40" w:before="40"/>
      </w:pPr>
      <w:r>
        <w:rPr>
          <w:rFonts w:ascii="Arial" w:cs="Arial" w:eastAsia="Arial" w:hAnsi="Arial"/>
          <w:color w:val="2C3E50"/>
          <w:sz w:val="22"/>
          <w:szCs w:val="22"/>
        </w:rPr>
        <w:t xml:space="preserve">Monitor Average Order Value (AOV) and Discount Impact Rate to detect margin erosion patterns and optimise pricing strategy.</w:t>
      </w: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3. Expected Outcomes</w:t>
      </w:r>
    </w:p>
    <w:p>
      <w:pPr>
        <w:spacing w:after="60" w:before="60"/>
      </w:pPr>
      <w:r>
        <w:rPr>
          <w:rFonts w:ascii="Arial" w:cs="Arial" w:eastAsia="Arial" w:hAnsi="Arial"/>
          <w:color w:val="2C3E50"/>
          <w:sz w:val="22"/>
          <w:szCs w:val="22"/>
        </w:rPr>
        <w:t xml:space="preserve">Upon completion and deployment of the Power BI dashboard, the following outcomes are expected:</w:t>
      </w:r>
    </w:p>
    <w:p>
      <w:pPr>
        <w:spacing w:before="60"/>
      </w:pPr>
    </w:p>
    <w:p>
      <w:pPr>
        <w:pStyle w:val="ListParagraph"/>
        <w:numPr>
          <w:ilvl w:val="0"/>
          <w:numId w:val="2"/>
        </w:numPr>
        <w:spacing w:after="40" w:before="40"/>
      </w:pPr>
      <w:r>
        <w:rPr>
          <w:rFonts w:ascii="Arial" w:cs="Arial" w:eastAsia="Arial" w:hAnsi="Arial"/>
          <w:color w:val="2C3E50"/>
          <w:sz w:val="22"/>
          <w:szCs w:val="22"/>
        </w:rPr>
        <w:t xml:space="preserve">A fully interactive, drill-through enabled Power BI dashboard covering 2023–2024 sales with dynamic filters by Region, Store, Channel, Category, and Date.</w:t>
      </w:r>
    </w:p>
    <w:p>
      <w:pPr>
        <w:pStyle w:val="ListParagraph"/>
        <w:numPr>
          <w:ilvl w:val="0"/>
          <w:numId w:val="2"/>
        </w:numPr>
        <w:spacing w:after="40" w:before="40"/>
      </w:pPr>
      <w:r>
        <w:rPr>
          <w:rFonts w:ascii="Arial" w:cs="Arial" w:eastAsia="Arial" w:hAnsi="Arial"/>
          <w:color w:val="2C3E50"/>
          <w:sz w:val="22"/>
          <w:szCs w:val="22"/>
        </w:rPr>
        <w:t xml:space="preserve">7 core KPI cards with YOY and MOM variance indicators, enabling management to assess performance at a glance.</w:t>
      </w:r>
    </w:p>
    <w:p>
      <w:pPr>
        <w:pStyle w:val="ListParagraph"/>
        <w:numPr>
          <w:ilvl w:val="0"/>
          <w:numId w:val="2"/>
        </w:numPr>
        <w:spacing w:after="40" w:before="40"/>
      </w:pPr>
      <w:r>
        <w:rPr>
          <w:rFonts w:ascii="Arial" w:cs="Arial" w:eastAsia="Arial" w:hAnsi="Arial"/>
          <w:color w:val="2C3E50"/>
          <w:sz w:val="22"/>
          <w:szCs w:val="22"/>
        </w:rPr>
        <w:t xml:space="preserve">Identification of the top-performing store, region, product, and channel combination driving at least 40% of total revenue.</w:t>
      </w:r>
    </w:p>
    <w:p>
      <w:pPr>
        <w:pStyle w:val="ListParagraph"/>
        <w:numPr>
          <w:ilvl w:val="0"/>
          <w:numId w:val="2"/>
        </w:numPr>
        <w:spacing w:after="40" w:before="40"/>
      </w:pPr>
      <w:r>
        <w:rPr>
          <w:rFonts w:ascii="Arial" w:cs="Arial" w:eastAsia="Arial" w:hAnsi="Arial"/>
          <w:color w:val="2C3E50"/>
          <w:sz w:val="22"/>
          <w:szCs w:val="22"/>
        </w:rPr>
        <w:t xml:space="preserve">A promotional effectiveness matrix showing which promotion types yield the highest Avg Revenue and lowest discount-to-margin ratio.</w:t>
      </w:r>
    </w:p>
    <w:p>
      <w:pPr>
        <w:pStyle w:val="ListParagraph"/>
        <w:numPr>
          <w:ilvl w:val="0"/>
          <w:numId w:val="2"/>
        </w:numPr>
        <w:spacing w:after="40" w:before="40"/>
      </w:pPr>
      <w:r>
        <w:rPr>
          <w:rFonts w:ascii="Arial" w:cs="Arial" w:eastAsia="Arial" w:hAnsi="Arial"/>
          <w:color w:val="2C3E50"/>
          <w:sz w:val="22"/>
          <w:szCs w:val="22"/>
        </w:rPr>
        <w:t xml:space="preserve">Customer segment analysis revealing the revenue contribution split between Corporate and Retail buyers, enabling segment-specific sales strategies.</w:t>
      </w:r>
    </w:p>
    <w:p>
      <w:pPr>
        <w:pStyle w:val="ListParagraph"/>
        <w:numPr>
          <w:ilvl w:val="0"/>
          <w:numId w:val="2"/>
        </w:numPr>
        <w:spacing w:after="40" w:before="40"/>
      </w:pPr>
      <w:r>
        <w:rPr>
          <w:rFonts w:ascii="Arial" w:cs="Arial" w:eastAsia="Arial" w:hAnsi="Arial"/>
          <w:color w:val="2C3E50"/>
          <w:sz w:val="22"/>
          <w:szCs w:val="22"/>
        </w:rPr>
        <w:t xml:space="preserve">A store-level benchmarking view that enables the operations team to replicate success from Large stores into Medium and Small store formats.</w:t>
      </w:r>
    </w:p>
    <w:p>
      <w:pPr>
        <w:pStyle w:val="ListParagraph"/>
        <w:numPr>
          <w:ilvl w:val="0"/>
          <w:numId w:val="2"/>
        </w:numPr>
        <w:spacing w:after="40" w:before="40"/>
      </w:pPr>
      <w:r>
        <w:rPr>
          <w:rFonts w:ascii="Arial" w:cs="Arial" w:eastAsia="Arial" w:hAnsi="Arial"/>
          <w:color w:val="2C3E50"/>
          <w:sz w:val="22"/>
          <w:szCs w:val="22"/>
        </w:rPr>
        <w:t xml:space="preserve">A sustainable DAX measure library enabling future self-service analytics expansion without rebuilding core calculations.</w:t>
      </w: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4. Key Performance Indicators (KPIs) with DAX Formulas</w:t>
      </w:r>
    </w:p>
    <w:p>
      <w:pPr>
        <w:spacing w:after="60" w:before="60"/>
      </w:pPr>
      <w:r>
        <w:rPr>
          <w:rFonts w:ascii="Arial" w:cs="Arial" w:eastAsia="Arial" w:hAnsi="Arial"/>
          <w:color w:val="2C3E50"/>
          <w:sz w:val="22"/>
          <w:szCs w:val="22"/>
        </w:rPr>
        <w:t xml:space="preserve">The following 7 KPIs have been defined with corresponding Prior Year (PY), Year-over-Year (YOY), Prior Month (PM), and Month-over-Month (MOM) DAX measures for Power BI implementation.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
        <w:gridCol w:w="1600"/>
        <w:gridCol w:w="1700"/>
        <w:gridCol w:w="1100"/>
        <w:gridCol w:w="1700"/>
        <w:gridCol w:w="2000"/>
      </w:tblGrid>
      <w:tr>
        <w:trPr>
          <w:tblHeader/>
        </w:trPr>
        <w:tc>
          <w:tcPr>
            <w:tcW w:type="dxa" w:w="36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w:t>
            </w:r>
          </w:p>
        </w:tc>
        <w:tc>
          <w:tcPr>
            <w:tcW w:type="dxa" w:w="9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KPI Name</w:t>
            </w:r>
          </w:p>
        </w:tc>
        <w:tc>
          <w:tcPr>
            <w:tcW w:type="dxa" w:w="16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Base DAX Measure</w:t>
            </w:r>
          </w:p>
        </w:tc>
        <w:tc>
          <w:tcPr>
            <w:tcW w:type="dxa" w:w="17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PY Measure</w:t>
            </w:r>
          </w:p>
        </w:tc>
        <w:tc>
          <w:tcPr>
            <w:tcW w:type="dxa" w:w="11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YOY %</w:t>
            </w:r>
          </w:p>
        </w:tc>
        <w:tc>
          <w:tcPr>
            <w:tcW w:type="dxa" w:w="17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PM Measure</w:t>
            </w:r>
          </w:p>
        </w:tc>
        <w:tc>
          <w:tcPr>
            <w:tcW w:type="dxa" w:w="20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MOM %</w:t>
            </w:r>
          </w:p>
        </w:tc>
      </w:tr>
      <w:tr>
        <w:tc>
          <w:tcPr>
            <w:tcW w:type="dxa" w:w="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1</w:t>
            </w:r>
          </w:p>
        </w:tc>
        <w:tc>
          <w:tcPr>
            <w:tcW w:type="dxa" w:w="9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Total Revenue</w:t>
            </w:r>
          </w:p>
        </w:tc>
        <w:tc>
          <w:tcPr>
            <w:tcW w:type="dxa" w:w="1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SUM(salesfact[SalesAmount])</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CALCULATE([Total Revenue], SAMEPERIODLASTYEAR('DimDate'[FullDate]))</w:t>
            </w:r>
          </w:p>
        </w:tc>
        <w:tc>
          <w:tcPr>
            <w:tcW w:type="dxa" w:w="11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Revenue] - [PY Revenue], [PY Revenue], 0)</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VAR _cm = MAX('DimDate'[Month])
VAR _cy = MAX('DimDate'[Year])
VAR _pm = IF(_cm=1,12,_cm-1)
VAR _py_mom = IF(_cm=1,_cy-1,_cy)
RETURN CALCULATE([Total Revenue], 'DimDate'[Month]=_pm, 'DimDate'[Year]=_py_mom)</w:t>
            </w:r>
          </w:p>
        </w:tc>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Revenue]-[PM Revenue],[PM Revenue],0)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Total Profit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SUM(salesfact[Profit])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CALCULATE([Total Profit], SAMEPERIODLASTYEAR('DimDate'[FullDate]))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Profit] - [PY Profit], [PY Profit],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VAR _cm = MAX('DimDate'[Month])
VAR _cy = MAX('DimDate'[Year])
VAR _pm = IF(_cm=1,12,_cm-1)
VAR _py_mom = IF(_cm=1,_cy-1,_cy)
RETURN CALCULATE([Total Profit], 'DimDate'[Month]=_pm, 'DimDate'[Year]=_py_mom)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Profit]-[PM Profit],[PM Profit],0)</w:t>
            </w:r>
          </w:p>
        </w:tc>
      </w:tr>
      <w:tr>
        <w:tc>
          <w:tcPr>
            <w:tcW w:type="dxa" w:w="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3</w:t>
            </w:r>
          </w:p>
        </w:tc>
        <w:tc>
          <w:tcPr>
            <w:tcW w:type="dxa" w:w="9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Profit Margin %</w:t>
            </w:r>
          </w:p>
        </w:tc>
        <w:tc>
          <w:tcPr>
            <w:tcW w:type="dxa" w:w="1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Profit], [Total Revenue], 0)</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DIVIDE([PY Profit], [PY Revenue], 0)</w:t>
            </w:r>
          </w:p>
        </w:tc>
        <w:tc>
          <w:tcPr>
            <w:tcW w:type="dxa" w:w="11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[Profit Margin %] - [PY Margin %]</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DIVIDE(CALCULATE([Total Profit], 'DimDate'[Month]=_pm, 'DimDate'[Year]=_py_mom), CALCULATE([Total Revenue], 'DimDate'[Month]=_pm, 'DimDate'[Year]=_py_mom), 0)</w:t>
            </w:r>
          </w:p>
        </w:tc>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[Profit Margin %] - [PM Margin %]</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Avg Order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Revenue], COUNTROWS(salesfact),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CALCULATE([Avg Order Value], SAMEPERIODLASTYEAR('DimDate'[FullDate]))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DIVIDE([Avg Order Value]-[PY AOV],[PY AOV],0)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CALCULATE([Avg Order Value], 'DimDate'[Month]=_pm, 'DimDate'[Year]=_py_mom)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DIVIDE([Avg Order Value]-[PM AOV],[PM AOV],0)</w:t>
            </w:r>
          </w:p>
        </w:tc>
      </w:tr>
      <w:tr>
        <w:tc>
          <w:tcPr>
            <w:tcW w:type="dxa" w:w="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5</w:t>
            </w:r>
          </w:p>
        </w:tc>
        <w:tc>
          <w:tcPr>
            <w:tcW w:type="dxa" w:w="9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Total Transactions</w:t>
            </w:r>
          </w:p>
        </w:tc>
        <w:tc>
          <w:tcPr>
            <w:tcW w:type="dxa" w:w="1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COUNTROWS(salesfact)</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CALCULATE([Total Transactions], SAMEPERIODLASTYEAR('DimDate'[FullDate]))</w:t>
            </w:r>
          </w:p>
        </w:tc>
        <w:tc>
          <w:tcPr>
            <w:tcW w:type="dxa" w:w="11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Transactions]-[PY Txns],[PY Txns],0)</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CALCULATE([Total Transactions], 'DimDate'[Month]=_pm, 'DimDate'[Year]=_py_mom)</w:t>
            </w:r>
          </w:p>
        </w:tc>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Transactions]-[PM Txns],[PM Txns],0)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Revenue per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DIVIDE([Total Revenue], DISTINCTCOUNT(salesfact[StoreKey]),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CALCULATE([Revenue per Store], SAMEPERIODLASTYEAR('DimDate'[FullDate]))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DIVIDE([Revenue per Store]-[PY Rev/Store],[PY Rev/Store],0)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CALCULATE([Revenue per Store], 'DimDate'[Month]=_pm, 'DimDate'[Year]=_py_mom)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DIVIDE([Rev per Store]-[PM Rev/Store],[PM Rev/Store],0)</w:t>
            </w:r>
          </w:p>
        </w:tc>
      </w:tr>
      <w:tr>
        <w:tc>
          <w:tcPr>
            <w:tcW w:type="dxa" w:w="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7</w:t>
            </w:r>
          </w:p>
        </w:tc>
        <w:tc>
          <w:tcPr>
            <w:tcW w:type="dxa" w:w="9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Discount Impact Rate</w:t>
            </w:r>
          </w:p>
        </w:tc>
        <w:tc>
          <w:tcPr>
            <w:tcW w:type="dxa" w:w="16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DIVIDE(SUMX(salesfact, salesfact[UnitPrice]*salesfact[Quantity]*salesfact[DiscountPct]), SUMX(salesfact, salesfact[UnitPrice]*salesfact[Quantity]), 0)</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CALCULATE([Discount Impact Rate], SAMEPERIODLASTYEAR('DimDate'[FullDate]))</w:t>
            </w:r>
          </w:p>
        </w:tc>
        <w:tc>
          <w:tcPr>
            <w:tcW w:type="dxa" w:w="11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[Discount Impact Rate] - [PY Discount Rate]</w:t>
            </w:r>
          </w:p>
        </w:tc>
        <w:tc>
          <w:tcPr>
            <w:tcW w:type="dxa" w:w="17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CALCULATE([Discount Impact Rate], 'DimDate'[Month]=_pm, 'DimDate'[Year]=_py_mom)</w:t>
            </w:r>
          </w:p>
        </w:tc>
        <w:tc>
          <w:tcPr>
            <w:tcW w:type="dxa" w:w="2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[Discount Impact Rate] - [PM Discount Rate]</w:t>
            </w:r>
          </w:p>
        </w:tc>
      </w:tr>
    </w:tbl>
    <w:p>
      <w:pPr>
        <w:spacing w:before="200"/>
      </w:pPr>
    </w:p>
    <w:p>
      <w:pPr>
        <w:spacing w:after="60" w:before="60"/>
      </w:pPr>
      <w:r>
        <w:rPr>
          <w:rFonts w:ascii="Arial" w:cs="Arial" w:eastAsia="Arial" w:hAnsi="Arial"/>
          <w:color w:val="2C3E50"/>
          <w:sz w:val="22"/>
          <w:szCs w:val="22"/>
        </w:rPr>
        <w:t xml:space="preserve">Note: PM (Prior Month) measures require a VAR block to handle year boundaries (January → December of previous year). Replace _pm and _py_mom references in sub-measures with the declared VAR values in the full measure context.</w:t>
      </w: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5. Data Insights Aligned to Problem Statement</w:t>
      </w:r>
    </w:p>
    <w:p>
      <w:pPr>
        <w:spacing w:after="60" w:before="60"/>
      </w:pPr>
      <w:r>
        <w:rPr>
          <w:rFonts w:ascii="Arial" w:cs="Arial" w:eastAsia="Arial" w:hAnsi="Arial"/>
          <w:color w:val="2C3E50"/>
          <w:sz w:val="22"/>
          <w:szCs w:val="22"/>
        </w:rPr>
        <w:t xml:space="preserve">The following 8 insights are derived from analysis of the 500-row salesfact dataset in conjunction with dimension tables (Products, Customers, Stores, Date):</w:t>
      </w:r>
    </w:p>
    <w:p>
      <w:pPr>
        <w:spacing w:before="120"/>
      </w:pPr>
    </w:p>
    <w:p>
      <w:pPr>
        <w:pStyle w:val="Heading2"/>
        <w:spacing w:after="160" w:before="280"/>
      </w:pPr>
      <w:r>
        <w:rPr>
          <w:rFonts w:ascii="Arial" w:cs="Arial" w:eastAsia="Arial" w:hAnsi="Arial"/>
          <w:b/>
          <w:bCs/>
          <w:color w:val="2980B9"/>
          <w:sz w:val="26"/>
          <w:szCs w:val="26"/>
        </w:rPr>
        <w:t xml:space="preserve">Insight 1: Phone Channel Dominates Transaction Volume</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Phone-based sales account for 30.2% of all transactions (151 of 500), making it the single largest channel ahead of In-Store (24.8%), Online (22.8%), and Partner (22.2%). However, revenue quality per transaction differs significantly across channels.</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Sales Channel (Phone, In-Store, Online, Partner) | Y-Axis: Transaction Count &amp; Revenue (₦)</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Clustered Bar Chart (dual axis) — Channel vs. Revenue &amp; Transaction Count</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Addresses channel revenue optimization and operational focus from the problem statement.</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2: 2024 Revenue Growth Outpaces 2023</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2024 recorded 263 transactions (52.6%) vs. 237 in 2023 (47.4%), indicating YOY growth in transaction volume. Revenue and profitability for 2024 reflect improved sales momentum requiring further drill-down by quarter.</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Month/Quarter | Y-Axis: Revenue (₦) — two series: 2023 vs. 2024</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Line Chart — Monthly Revenue Trend (YOY comparison, 2023 vs. 2024)</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Directly answers the YOY performance objective and helps identify seasonal peaks.</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3: Electronics Category Drives Majority of Revenue</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Electronics (Computers, Accessories) carry higher unit prices (e.g., Laptop Pro 15 at ₦1,200, Monitor at ₦400) compared to Furniture. Despite Furniture having higher cost margins, Electronics drive bulk revenue due to volume and price points.</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Product Category (Electronics, Furniture) | Y-Axis: Total Revenue &amp; Profit (₦)</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Stacked Bar Chart — Category Revenue vs. Profit Contribution</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Supports the objective of identifying high-margin product segments.</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4: South-West Region Leads Revenue Concentration</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Lagos Island (South-West, Large store) and Ibadan Hub (South-West, Large store) are the two oldest and largest stores. Their combined regional footprint positions South-West as the top revenue-generating region, while North-West and South-South underperform proportionally.</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Region | Y-Axis: Total Revenue (₦)</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Filled Map or Horizontal Bar Chart — Revenue by Region (with store size filter)</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Enables regional performance benchmarking and store expansion decisions.</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5: Bundle Promotions Show Highest Activation Rate</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Bundle promotions account for 81 transactions alongside Clearance (81) and Seasonal (79). The 259 transactions with no promotion (51.8%) suggest a significant non-promotional revenue base, but Bundle and Clearance promotions generate higher average quantities per order.</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Promotion Type (Bundle, Clearance, Seasonal, None) | Y-Axis: Avg Quantity &amp; Revenue</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Grouped Column Chart — Promotion Type vs. Avg Order Quantity &amp; Revenue</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Addresses promotional effectiveness and its impact on revenue uplift.</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6: Large Stores Deliver Superior Revenue per Store</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Large stores (Lagos Island, Ibadan Hub) operate with greater inventory capacity and footfall. Compared to Medium (Abuja Central, Kano Main) and Small (PH Branch) stores, Large stores generate disproportionately higher revenue, suggesting a store-size ROI advantage.</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Store Name | Y-Axis: Revenue (₦) — colored by Store Size</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Bar Chart — Revenue per Store (color-coded by Small/Medium/Large)</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Supports store investment and expansion ROI objectives.</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7: Corporate Segment Generates Higher Transaction Value</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Corporate customers (e.g., Emeka Nwosu, Bola Adewale) tend to purchase Electronics with higher unit prices. Retail customers form the broader base but with lower average order values. Segment-level revenue profiling shows Corporate as higher-value despite fewer transactions.</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Customer Segment (Corporate, Retail) | Y-Axis: Total Revenue &amp; Avg Order Value</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Donut Chart (Revenue Split) + KPI Cards for Avg Order Value per Segment</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Answers customer segmentation objectives for targeted marketing investment.</w:t>
      </w:r>
    </w:p>
    <w:p>
      <w:pPr>
        <w:pBdr>
          <w:bottom w:val="dashed" w:color="BDC3C7" w:sz="2" w:space="1"/>
        </w:pBdr>
        <w:spacing w:after="120" w:before="60"/>
      </w:pPr>
    </w:p>
    <w:p>
      <w:pPr>
        <w:pStyle w:val="Heading2"/>
        <w:spacing w:after="160" w:before="280"/>
      </w:pPr>
      <w:r>
        <w:rPr>
          <w:rFonts w:ascii="Arial" w:cs="Arial" w:eastAsia="Arial" w:hAnsi="Arial"/>
          <w:b/>
          <w:bCs/>
          <w:color w:val="2980B9"/>
          <w:sz w:val="26"/>
          <w:szCs w:val="26"/>
        </w:rPr>
        <w:t xml:space="preserve">Insight 8: Discount Application Has Minimal But Measurable Profit Impact</w:t>
      </w:r>
    </w:p>
    <w:p>
      <w:pPr>
        <w:spacing w:after="60" w:before="80"/>
      </w:pPr>
      <w:r>
        <w:rPr>
          <w:rFonts w:ascii="Arial" w:cs="Arial" w:eastAsia="Arial" w:hAnsi="Arial"/>
          <w:b/>
          <w:bCs/>
          <w:color w:val="1B4F72"/>
          <w:sz w:val="22"/>
          <w:szCs w:val="22"/>
        </w:rPr>
        <w:t xml:space="preserve">Finding: </w:t>
      </w:r>
      <w:r>
        <w:rPr>
          <w:rFonts w:ascii="Arial" w:cs="Arial" w:eastAsia="Arial" w:hAnsi="Arial"/>
          <w:color w:val="2C3E50"/>
          <w:sz w:val="22"/>
          <w:szCs w:val="22"/>
        </w:rPr>
        <w:t xml:space="preserve">Of 500 transactions, discounts appear on select records (e.g., 10% on Office Chair). The overall Discount Impact Rate indicates that discounted orders show lower profit margins, particularly in Furniture. Monitoring discount frequency by store and channel prevents unnecessary margin erosion.</w:t>
      </w:r>
    </w:p>
    <w:p>
      <w:pPr>
        <w:spacing w:after="60" w:before="60"/>
      </w:pPr>
      <w:r>
        <w:rPr>
          <w:rFonts w:ascii="Arial" w:cs="Arial" w:eastAsia="Arial" w:hAnsi="Arial"/>
          <w:b/>
          <w:bCs/>
          <w:color w:val="E74C3C"/>
          <w:sz w:val="22"/>
          <w:szCs w:val="22"/>
        </w:rPr>
        <w:t xml:space="preserve">Axis Definition — </w:t>
      </w:r>
      <w:r>
        <w:rPr>
          <w:rFonts w:ascii="Arial" w:cs="Arial" w:eastAsia="Arial" w:hAnsi="Arial"/>
          <w:i/>
          <w:iCs/>
          <w:color w:val="2C3E50"/>
          <w:sz w:val="22"/>
          <w:szCs w:val="22"/>
        </w:rPr>
        <w:t xml:space="preserve">X-Axis: Discount Band (0%, 5%, 10%, 15%+) | Y-Axis: Profit Margin %</w:t>
      </w:r>
    </w:p>
    <w:p>
      <w:pPr>
        <w:spacing w:after="60" w:before="60"/>
      </w:pPr>
      <w:r>
        <w:rPr>
          <w:rFonts w:ascii="Arial" w:cs="Arial" w:eastAsia="Arial" w:hAnsi="Arial"/>
          <w:b/>
          <w:bCs/>
          <w:color w:val="27AE60"/>
          <w:sz w:val="22"/>
          <w:szCs w:val="22"/>
        </w:rPr>
        <w:t xml:space="preserve">Recommended Chart: </w:t>
      </w:r>
      <w:r>
        <w:rPr>
          <w:rFonts w:ascii="Arial" w:cs="Arial" w:eastAsia="Arial" w:hAnsi="Arial"/>
          <w:color w:val="2C3E50"/>
          <w:sz w:val="22"/>
          <w:szCs w:val="22"/>
        </w:rPr>
        <w:t xml:space="preserve">Scatter Plot or Line Chart — Discount % vs. Profit Margin by Product Category</w:t>
      </w:r>
    </w:p>
    <w:p>
      <w:pPr>
        <w:spacing w:after="140" w:before="60"/>
      </w:pPr>
      <w:r>
        <w:rPr>
          <w:rFonts w:ascii="Arial" w:cs="Arial" w:eastAsia="Arial" w:hAnsi="Arial"/>
          <w:b/>
          <w:bCs/>
          <w:color w:val="8E44AD"/>
          <w:sz w:val="22"/>
          <w:szCs w:val="22"/>
        </w:rPr>
        <w:t xml:space="preserve">Strategic Alignment: </w:t>
      </w:r>
      <w:r>
        <w:rPr>
          <w:rFonts w:ascii="Arial" w:cs="Arial" w:eastAsia="Arial" w:hAnsi="Arial"/>
          <w:color w:val="2C3E50"/>
          <w:sz w:val="22"/>
          <w:szCs w:val="22"/>
        </w:rPr>
        <w:t xml:space="preserve">Directly tied to the profitability protection objective in the problem statement.</w:t>
      </w:r>
    </w:p>
    <w:p>
      <w:pPr>
        <w:spacing w:before="40"/>
      </w:pPr>
    </w:p>
    <w:p>
      <w:pPr>
        <w:pBdr>
          <w:bottom w:val="single" w:color="2980B9" w:sz="4" w:space="1"/>
        </w:pBdr>
        <w:spacing w:after="160" w:before="160"/>
      </w:pPr>
    </w:p>
    <w:p>
      <w:pPr>
        <w:pStyle w:val="Heading1"/>
        <w:spacing w:after="200" w:before="360"/>
      </w:pPr>
      <w:r>
        <w:rPr>
          <w:rFonts w:ascii="Arial" w:cs="Arial" w:eastAsia="Arial" w:hAnsi="Arial"/>
          <w:b/>
          <w:bCs/>
          <w:color w:val="1B4F72"/>
          <w:sz w:val="32"/>
          <w:szCs w:val="32"/>
        </w:rPr>
        <w:t xml:space="preserve">6. Dashboard Implementation Summary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Component</w:t>
            </w:r>
          </w:p>
        </w:tc>
        <w:tc>
          <w:tcPr>
            <w:tcW w:type="dxa" w:w="6360"/>
            <w:tcBorders>
              <w:top w:val="single" w:color="1B4F72" w:sz="1"/>
              <w:left w:val="single" w:color="1B4F72" w:sz="1"/>
              <w:bottom w:val="single" w:color="1B4F72" w:sz="1"/>
              <w:right w:val="single" w:color="1B4F72" w:sz="1"/>
            </w:tcBorders>
            <w:shd w:fill="1B4F72" w:val="clear"/>
            <w:tcMar>
              <w:top w:type="dxa" w:w="120"/>
              <w:left w:type="dxa" w:w="180"/>
              <w:bottom w:type="dxa" w:w="120"/>
              <w:right w:type="dxa" w:w="18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Sales_transactions.xlsx (5 sheets: salesfact, DimProducts, Dimcustomers, DimStore, DimDate)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Date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January 2023 – December 2024 (500 transactions)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Stores</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5 stores across Lagos, Abuja, Kano, Rivers, Oyo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Sales Channels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In-Store (24.8%), Online (22.8%), Phone (30.2%), Partner (22.2%)</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Product Categories</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Electronics (Computers, Accessories, Displays, Audio) | Furniture (Seating, Desks,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Total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₦516,543 across 2023–2024 | Profit Margin: 38.7%</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bCs/>
                <w:color w:val="2C3E50"/>
                <w:sz w:val="19"/>
                <w:szCs w:val="19"/>
              </w:rPr>
              <w:t xml:space="preserve">KPI Count</w:t>
            </w:r>
          </w:p>
        </w:tc>
        <w:tc>
          <w:tcPr>
            <w:tcW w:type="dxa" w:w="6360"/>
            <w:tcBorders>
              <w:top w:val="single" w:color="CCCCCC" w:sz="1"/>
              <w:left w:val="single" w:color="CCCCCC" w:sz="1"/>
              <w:bottom w:val="single" w:color="CCCCCC" w:sz="1"/>
              <w:right w:val="single" w:color="CCCCCC" w:sz="1"/>
            </w:tcBorders>
            <w:shd w:fill="EAF2F8" w:val="clear"/>
            <w:tcMar>
              <w:top w:type="dxa" w:w="80"/>
              <w:left w:type="dxa" w:w="140"/>
              <w:bottom w:type="dxa" w:w="80"/>
              <w:right w:type="dxa" w:w="140"/>
            </w:tcMar>
          </w:tcPr>
          <w:p>
            <w:r>
              <w:rPr>
                <w:rFonts w:ascii="Arial" w:cs="Arial" w:eastAsia="Arial" w:hAnsi="Arial"/>
                <w:b w:val="false"/>
                <w:bCs w:val="false"/>
                <w:color w:val="2C3E50"/>
                <w:sz w:val="19"/>
                <w:szCs w:val="19"/>
              </w:rPr>
              <w:t xml:space="preserve">7 KPIs with PY, YOY, PM, and MOM DAX variants (28 measures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3E50"/>
                <w:sz w:val="19"/>
                <w:szCs w:val="19"/>
              </w:rPr>
              <w:t xml:space="preserve">Dashboard Slides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3E50"/>
                <w:sz w:val="19"/>
                <w:szCs w:val="19"/>
              </w:rPr>
              <w:t xml:space="preserve">2 Power BI Dashboard Pages: Executive Overview + Channel &amp; Product Deep-Dive</w:t>
            </w:r>
          </w:p>
        </w:tc>
      </w:tr>
    </w:tbl>
    <w:p>
      <w:pPr>
        <w:spacing w:before="400"/>
      </w:pPr>
    </w:p>
    <w:p>
      <w:pPr>
        <w:jc w:val="center"/>
      </w:pPr>
      <w:r>
        <w:rPr>
          <w:rFonts w:ascii="Arial" w:cs="Arial" w:eastAsia="Arial" w:hAnsi="Arial"/>
          <w:i/>
          <w:iCs/>
          <w:color w:val="95A5A6"/>
          <w:sz w:val="20"/>
          <w:szCs w:val="20"/>
        </w:rPr>
        <w:t xml:space="preserve">— End of Business Requirements Document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2026-04-20T13:34:30.985Z</dcterms:created>
  <dcterms:modified xsi:type="dcterms:W3CDTF">2026-04-20T13:34:30.986Z</dcterms:modified>
</cp:coreProperties>
</file>

<file path=docProps/custom.xml><?xml version="1.0" encoding="utf-8"?>
<Properties xmlns="http://schemas.openxmlformats.org/officeDocument/2006/custom-properties" xmlns:vt="http://schemas.openxmlformats.org/officeDocument/2006/docPropsVTypes"/>
</file>