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df" ContentType="application/pdf"/>
  <Override PartName="/word/media/rId41.pdf" ContentType="application/pdf"/>
  <Override PartName="/word/media/rId43.pdf" ContentType="application/pdf"/>
  <Override PartName="/word/media/rId30.pdf" ContentType="application/pdf"/>
  <Override PartName="/word/media/rId32.pdf" ContentType="application/pdf"/>
  <Override PartName="/word/media/rId34.pdf" ContentType="application/pdf"/>
  <Override PartName="/word/media/rId36.pdf" ContentType="application/pdf"/>
  <Override PartName="/word/media/rId38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2D</w:t>
      </w:r>
      <w:r>
        <w:t xml:space="preserve"> </w:t>
      </w:r>
      <w:r>
        <w:t xml:space="preserve">AR1</w:t>
      </w:r>
      <w:r>
        <w:t xml:space="preserve"> </w:t>
      </w:r>
      <w:r>
        <w:t xml:space="preserve">random</w:t>
      </w:r>
      <w:r>
        <w:t xml:space="preserve"> </w:t>
      </w:r>
      <w:r>
        <w:t xml:space="preserve">effects</w:t>
      </w:r>
      <w:r>
        <w:t xml:space="preserve"> </w:t>
      </w:r>
      <w:r>
        <w:t xml:space="preserve">on</w:t>
      </w:r>
      <w:r>
        <w:t xml:space="preserve"> </w:t>
      </w:r>
      <w:r>
        <w:t xml:space="preserve">NAA</w:t>
      </w:r>
      <w:r>
        <w:t xml:space="preserve"> </w:t>
      </w:r>
      <w:r>
        <w:t xml:space="preserve">vs. M</w:t>
      </w:r>
      <w:r>
        <w:t xml:space="preserve"> </w:t>
      </w:r>
      <w:r>
        <w:t xml:space="preserve">(+CPI)</w:t>
      </w:r>
    </w:p>
    <w:p>
      <w:pPr>
        <w:pStyle w:val="Heading2"/>
      </w:pPr>
      <w:bookmarkStart w:id="20" w:name="methods-changes-from-haikuns-draft"/>
      <w:r>
        <w:t xml:space="preserve">Methods changes from Haikun’s draft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Updated population data through 2018. Use 2019 assessment with a couple modifications:</w:t>
      </w:r>
    </w:p>
    <w:p>
      <w:pPr>
        <w:pStyle w:val="Compact"/>
        <w:numPr>
          <w:numId w:val="1002"/>
          <w:ilvl w:val="1"/>
        </w:numPr>
      </w:pPr>
      <w:r>
        <w:t xml:space="preserve">remove larval survey (indices 4 and 5)</w:t>
      </w:r>
    </w:p>
    <w:p>
      <w:pPr>
        <w:pStyle w:val="Compact"/>
        <w:numPr>
          <w:numId w:val="1002"/>
          <w:ilvl w:val="1"/>
        </w:numPr>
      </w:pPr>
      <w:r>
        <w:t xml:space="preserve">use logistic selectivity except for blocks 1, 3, and 9 (age-specific with sel for older ages fixed at 1, as in assessment, facilitates convergence)</w:t>
      </w:r>
    </w:p>
    <w:p>
      <w:pPr>
        <w:pStyle w:val="Compact"/>
        <w:numPr>
          <w:numId w:val="1002"/>
          <w:ilvl w:val="1"/>
        </w:numPr>
      </w:pPr>
      <w:r>
        <w:t xml:space="preserve">age compositions: logistic normal pool obs (wham option 5)</w:t>
      </w:r>
    </w:p>
    <w:p>
      <w:pPr>
        <w:pStyle w:val="Compact"/>
        <w:numPr>
          <w:numId w:val="1001"/>
          <w:ilvl w:val="0"/>
        </w:numPr>
      </w:pPr>
      <w:r>
        <w:t xml:space="preserve">Updated CPI from Chris Melrose (1972-2018)</w:t>
      </w:r>
    </w:p>
    <w:p>
      <w:pPr>
        <w:pStyle w:val="Compact"/>
        <w:numPr>
          <w:numId w:val="1001"/>
          <w:ilvl w:val="0"/>
        </w:numPr>
      </w:pPr>
      <w:r>
        <w:t xml:space="preserve">Added analysis comparing putting 2D AR1 devs on NAA vs. M (motivated by</w:t>
      </w:r>
      <w:r>
        <w:t xml:space="preserve"> </w:t>
      </w:r>
      <w:hyperlink r:id="rId21">
        <w:r>
          <w:rPr>
            <w:rStyle w:val="Hyperlink"/>
          </w:rPr>
          <w:t xml:space="preserve">Aldrin et al. 2020</w:t>
        </w:r>
      </w:hyperlink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results-summary-i.e.points-to-make-in-paper"/>
      <w:r>
        <w:t xml:space="preserve">Results summary (i.e. points to make in paper)</w:t>
      </w:r>
      <w:bookmarkEnd w:id="22"/>
    </w:p>
    <w:p>
      <w:pPr>
        <w:pStyle w:val="FirstParagraph"/>
      </w:pPr>
      <w:r>
        <w:t xml:space="preserve">Base model has large retros (</w:t>
      </w:r>
      <m:oMath>
        <m:sSub>
          <m:e>
            <m:r>
              <m:t>ρ</m:t>
            </m:r>
          </m:e>
          <m:sub>
            <m:r>
              <m:t>R</m:t>
            </m:r>
          </m:sub>
        </m:sSub>
        <m:r>
          <m:t>&gt;</m:t>
        </m:r>
        <m:r>
          <m:t>5</m:t>
        </m:r>
      </m:oMath>
      <w:r>
        <w:t xml:space="preserve">,</w:t>
      </w:r>
      <w:r>
        <w:t xml:space="preserve"> </w:t>
      </w:r>
      <m:oMath>
        <m:sSub>
          <m:e>
            <m:r>
              <m:t>ρ</m:t>
            </m:r>
          </m:e>
          <m:sub>
            <m:r>
              <m:t>S</m:t>
            </m:r>
            <m:r>
              <m:t>S</m:t>
            </m:r>
            <m:r>
              <m:t>B</m:t>
            </m:r>
          </m:sub>
        </m:sSub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ρ</m:t>
            </m:r>
          </m:e>
          <m:sub>
            <m:r>
              <m:t>F</m:t>
            </m:r>
          </m:sub>
        </m:sSub>
        <m:r>
          <m:t>=</m:t>
        </m:r>
        <m:r>
          <m:t>−</m:t>
        </m:r>
        <m:r>
          <m:t>0.4</m:t>
        </m:r>
      </m:oMath>
      <w:r>
        <w:t xml:space="preserve">). Recruitment has been very poor in the period since Haikun’s data ended (2012-2018), so models that do not allow temporal changes in R greatly overestimate it. Looking back at Haikun’s figures, the outlook for the stock was much rosier with data ending in 2011. It has tanked since then.</w:t>
      </w:r>
    </w:p>
    <w:p>
      <w:pPr>
        <w:pStyle w:val="Compact"/>
        <w:numPr>
          <w:numId w:val="1003"/>
          <w:ilvl w:val="0"/>
        </w:numPr>
      </w:pPr>
      <w:r>
        <w:t xml:space="preserve">2D AR1 structure on random effects is useful (lower AIC and</w:t>
      </w:r>
      <w:r>
        <w:t xml:space="preserve"> </w:t>
      </w:r>
      <m:oMath>
        <m:r>
          <m:t>ρ</m:t>
        </m:r>
      </m:oMath>
      <w:r>
        <w:t xml:space="preserve">).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NAA only</w:t>
      </w:r>
      <w:r>
        <w:t xml:space="preserve">. Adding random effect deviations on NAA improves AIC and</w:t>
      </w:r>
      <w:r>
        <w:t xml:space="preserve"> </w:t>
      </w:r>
      <m:oMath>
        <m:r>
          <m:t>ρ</m:t>
        </m:r>
      </m:oMath>
      <w:r>
        <w:t xml:space="preserve">.</w:t>
      </w:r>
      <w:r>
        <w:t xml:space="preserve"> </w:t>
      </w:r>
      <w:r>
        <w:rPr>
          <w:b/>
        </w:rPr>
        <w:t xml:space="preserve">2D AR1 best</w:t>
      </w:r>
      <w:r>
        <w:t xml:space="preserve">.</w:t>
      </w:r>
      <w:r>
        <w:t xml:space="preserve"> </w:t>
      </w:r>
      <m:oMath>
        <m:sSub>
          <m:e>
            <m:r>
              <m:t>ρ</m:t>
            </m:r>
          </m:e>
          <m:sub>
            <m:r>
              <m:t>R</m:t>
            </m:r>
          </m:sub>
        </m:sSub>
        <m:r>
          <m:t>=</m:t>
        </m:r>
        <m:r>
          <m:t>0.56</m:t>
        </m:r>
      </m:oMath>
      <w:r>
        <w:t xml:space="preserve">,</w:t>
      </w:r>
      <w:r>
        <w:t xml:space="preserve"> </w:t>
      </w:r>
      <m:oMath>
        <m:sSub>
          <m:e>
            <m:r>
              <m:t>ρ</m:t>
            </m:r>
          </m:e>
          <m:sub>
            <m:r>
              <m:t>S</m:t>
            </m:r>
            <m:r>
              <m:t>S</m:t>
            </m:r>
            <m:r>
              <m:t>B</m:t>
            </m:r>
          </m:sub>
        </m:sSub>
        <m:r>
          <m:t>=</m:t>
        </m:r>
        <m:r>
          <m:t>0.09</m:t>
        </m:r>
      </m:oMath>
      <w:r>
        <w:t xml:space="preserve">,</w:t>
      </w:r>
      <w:r>
        <w:t xml:space="preserve"> </w:t>
      </w:r>
      <m:oMath>
        <m:sSub>
          <m:e>
            <m:r>
              <m:t>ρ</m:t>
            </m:r>
          </m:e>
          <m:sub>
            <m:r>
              <m:t>F</m:t>
            </m:r>
          </m:sub>
        </m:sSub>
        <m:r>
          <m:t>=</m:t>
        </m:r>
        <m:r>
          <m:t>−</m:t>
        </m:r>
        <m:r>
          <m:t>0.03</m:t>
        </m:r>
      </m:oMath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M only</w:t>
      </w:r>
      <w:r>
        <w:t xml:space="preserve">. NAA devs are kind of like M devs (not really… but that’s advocated by</w:t>
      </w:r>
      <w:r>
        <w:t xml:space="preserve"> </w:t>
      </w:r>
      <w:hyperlink r:id="rId21">
        <w:r>
          <w:rPr>
            <w:rStyle w:val="Hyperlink"/>
          </w:rPr>
          <w:t xml:space="preserve">Aldrin et al. 2020</w:t>
        </w:r>
      </w:hyperlink>
      <w:r>
        <w:t xml:space="preserve">). Adding devs on M instead of NAA also improves AIC and</w:t>
      </w:r>
      <w:r>
        <w:t xml:space="preserve"> </w:t>
      </w:r>
      <m:oMath>
        <m:r>
          <m:t>ρ</m:t>
        </m:r>
      </m:oMath>
      <w:r>
        <w:t xml:space="preserve">.</w:t>
      </w:r>
      <w:r>
        <w:t xml:space="preserve"> </w:t>
      </w:r>
      <w:r>
        <w:rPr>
          <w:b/>
        </w:rPr>
        <w:t xml:space="preserve">2D AR1 best</w:t>
      </w:r>
      <w:r>
        <w:t xml:space="preserve"> </w:t>
      </w:r>
      <w:r>
        <w:t xml:space="preserve">again. Not obvious whether to estimate (higher) mean M or not: lower AIC but higher</w:t>
      </w:r>
      <w:r>
        <w:t xml:space="preserve"> </w:t>
      </w:r>
      <m:oMath>
        <m:r>
          <m:t>ρ</m:t>
        </m:r>
      </m:oMath>
      <w:r>
        <w:t xml:space="preserve">. Just estimating</w:t>
      </w:r>
      <w:r>
        <w:t xml:space="preserve"> </w:t>
      </w:r>
      <m:oMath>
        <m:sSub>
          <m:e>
            <m:r>
              <m:t>μ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without any random effects reduces AIC and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a lot.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NAA + M</w:t>
      </w:r>
      <w:r>
        <w:t xml:space="preserve">. Adding devs on both NAA and M further improves AIC and</w:t>
      </w:r>
      <w:r>
        <w:t xml:space="preserve"> </w:t>
      </w:r>
      <m:oMath>
        <m:r>
          <m:t>ρ</m:t>
        </m:r>
      </m:oMath>
      <w:r>
        <w:t xml:space="preserve">. Gets to</w:t>
      </w:r>
      <w:r>
        <w:t xml:space="preserve"> </w:t>
      </w:r>
      <m:oMath>
        <m:sSub>
          <m:e>
            <m:r>
              <m:t>ρ</m:t>
            </m:r>
          </m:e>
          <m:sub>
            <m:r>
              <m:t>R</m:t>
            </m:r>
          </m:sub>
        </m:sSub>
        <m:r>
          <m:t>=</m:t>
        </m:r>
        <m:r>
          <m:t>−</m:t>
        </m:r>
        <m:r>
          <m:t>0.21</m:t>
        </m:r>
      </m:oMath>
      <w:r>
        <w:t xml:space="preserve">,</w:t>
      </w:r>
      <w:r>
        <w:t xml:space="preserve"> </w:t>
      </w:r>
      <m:oMath>
        <m:sSub>
          <m:e>
            <m:r>
              <m:t>ρ</m:t>
            </m:r>
          </m:e>
          <m:sub>
            <m:r>
              <m:t>S</m:t>
            </m:r>
            <m:r>
              <m:t>S</m:t>
            </m:r>
            <m:r>
              <m:t>B</m:t>
            </m:r>
          </m:sub>
        </m:sSub>
        <m:r>
          <m:t>=</m:t>
        </m:r>
        <m:r>
          <m:t>0.03</m:t>
        </m:r>
      </m:oMath>
      <w:r>
        <w:t xml:space="preserve">,</w:t>
      </w:r>
      <w:r>
        <w:t xml:space="preserve"> </w:t>
      </w:r>
      <m:oMath>
        <m:sSub>
          <m:e>
            <m:r>
              <m:t>ρ</m:t>
            </m:r>
          </m:e>
          <m:sub>
            <m:r>
              <m:t>F</m:t>
            </m:r>
          </m:sub>
        </m:sSub>
        <m:r>
          <m:t>=</m:t>
        </m:r>
        <m:r>
          <m:t>0.05</m:t>
        </m:r>
      </m:oMath>
      <w:r>
        <w:t xml:space="preserve">. Model with</w:t>
      </w:r>
      <w:r>
        <w:t xml:space="preserve"> </w:t>
      </w:r>
      <w:r>
        <w:rPr>
          <w:i/>
        </w:rPr>
        <w:t xml:space="preserve">2D AR1 on both doesn’t converge</w:t>
      </w:r>
      <w:r>
        <w:t xml:space="preserve">, need to have IID devs on either NAA, M, or both.</w:t>
      </w:r>
    </w:p>
    <w:p>
      <w:pPr>
        <w:pStyle w:val="Compact"/>
        <w:numPr>
          <w:numId w:val="1003"/>
          <w:ilvl w:val="0"/>
        </w:numPr>
      </w:pPr>
      <w:r>
        <w:t xml:space="preserve">Environmental effect on recruitment further improves AIC and</w:t>
      </w:r>
      <w:r>
        <w:t xml:space="preserve"> </w:t>
      </w:r>
      <m:oMath>
        <m:r>
          <m:t>ρ</m:t>
        </m:r>
      </m:oMath>
      <w:r>
        <w:t xml:space="preserve">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NAA + CPI</w:t>
      </w:r>
      <w:r>
        <w:t xml:space="preserve">. Reduces</w:t>
      </w:r>
      <w:r>
        <w:t xml:space="preserve"> </w:t>
      </w:r>
      <m:oMath>
        <m:sSub>
          <m:e>
            <m:r>
              <m:t>ρ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by about 0.06-0.1 compared to</w:t>
      </w:r>
      <w:r>
        <w:t xml:space="preserve"> </w:t>
      </w:r>
      <w:r>
        <w:rPr>
          <w:i/>
        </w:rPr>
        <w:t xml:space="preserve">NAA only</w:t>
      </w:r>
      <w:r>
        <w:t xml:space="preserve">. Little change in</w:t>
      </w:r>
      <w:r>
        <w:t xml:space="preserve"> </w:t>
      </w:r>
      <m:oMath>
        <m:sSub>
          <m:e>
            <m:r>
              <m:t>ρ</m:t>
            </m:r>
          </m:e>
          <m:sub>
            <m:r>
              <m:t>S</m:t>
            </m:r>
            <m:r>
              <m:t>S</m:t>
            </m:r>
            <m:r>
              <m:t>B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ρ</m:t>
            </m:r>
          </m:e>
          <m:sub>
            <m:r>
              <m:t>F</m:t>
            </m:r>
          </m:sub>
        </m:sSub>
      </m:oMath>
      <w:r>
        <w:t xml:space="preserve">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NAA + M + CPI</w:t>
      </w:r>
      <w:r>
        <w:t xml:space="preserve">. Consistent improvements as from adding M devs and CPI in isolation. Best model: NAA (IID) + M (2D AR1) + CPI (AR1).</w:t>
      </w:r>
      <w:r>
        <w:t xml:space="preserve"> </w:t>
      </w:r>
      <m:oMath>
        <m:sSub>
          <m:e>
            <m:r>
              <m:t>ρ</m:t>
            </m:r>
          </m:e>
          <m:sub>
            <m:r>
              <m:t>R</m:t>
            </m:r>
          </m:sub>
        </m:sSub>
        <m:r>
          <m:t>=</m:t>
        </m:r>
        <m:r>
          <m:t>−</m:t>
        </m:r>
        <m:r>
          <m:t>0.11</m:t>
        </m:r>
      </m:oMath>
      <w:r>
        <w:t xml:space="preserve">,</w:t>
      </w:r>
      <w:r>
        <w:t xml:space="preserve"> </w:t>
      </w:r>
      <m:oMath>
        <m:sSub>
          <m:e>
            <m:r>
              <m:t>ρ</m:t>
            </m:r>
          </m:e>
          <m:sub>
            <m:r>
              <m:t>S</m:t>
            </m:r>
            <m:r>
              <m:t>S</m:t>
            </m:r>
            <m:r>
              <m:t>B</m:t>
            </m:r>
          </m:sub>
        </m:sSub>
        <m:r>
          <m:t>=</m:t>
        </m:r>
        <m:r>
          <m:t>0.02</m:t>
        </m:r>
      </m:oMath>
      <w:r>
        <w:t xml:space="preserve">,</w:t>
      </w:r>
      <w:r>
        <w:t xml:space="preserve"> </w:t>
      </w:r>
      <m:oMath>
        <m:sSub>
          <m:e>
            <m:r>
              <m:t>ρ</m:t>
            </m:r>
          </m:e>
          <m:sub>
            <m:r>
              <m:t>F</m:t>
            </m:r>
          </m:sub>
        </m:sSub>
        <m:r>
          <m:t>=</m:t>
        </m:r>
        <m:r>
          <m:t>0.06</m:t>
        </m:r>
      </m:oMath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(minor) Bias correction of lognormal observations (aggregated catch and indices) slightly (but consistently) improves -logL and</w:t>
      </w:r>
      <w:r>
        <w:t xml:space="preserve"> </w:t>
      </w:r>
      <m:oMath>
        <m:r>
          <m:t>ρ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tables"/>
      <w:r>
        <w:t xml:space="preserve">Tables</w:t>
      </w:r>
      <w:bookmarkEnd w:id="23"/>
    </w:p>
    <w:p>
      <w:pPr>
        <w:pStyle w:val="FirstParagraph"/>
      </w:pPr>
      <w:r>
        <w:rPr>
          <w:rStyle w:val="VerbatimChar"/>
        </w:rPr>
        <w:t xml:space="preserve">Converged</w:t>
      </w:r>
      <w:r>
        <w:t xml:space="preserve"> </w:t>
      </w:r>
      <w:r>
        <w:t xml:space="preserve">= converged with positive definite Hessian. Model in each table with</w:t>
      </w:r>
      <w:r>
        <w:t xml:space="preserve"> </w:t>
      </w:r>
      <w:r>
        <w:rPr>
          <w:b/>
        </w:rPr>
        <w:t xml:space="preserve">lowest retro (not AIC)</w:t>
      </w:r>
      <w:r>
        <w:t xml:space="preserve"> </w:t>
      </w:r>
      <w:r>
        <w:t xml:space="preserve">is highlighted in grey and plotted in the figures.</w:t>
      </w:r>
    </w:p>
    <w:p>
      <w:pPr>
        <w:pStyle w:val="Heading4"/>
      </w:pPr>
      <w:bookmarkStart w:id="24" w:name="table-1.-naa-only-models-where-only-naa-are-random-effects"/>
      <w:r>
        <w:t xml:space="preserve">Table 1. NAA only (models where only NAA are random effects)</w:t>
      </w:r>
      <w:bookmarkEnd w:id="24"/>
    </w:p>
    <w:p>
      <w:pPr>
        <w:pStyle w:val="FirstParagraph"/>
      </w:pPr>
      <w:r>
        <w:t xml:space="preserve">Model</w:t>
      </w:r>
      <w:r>
        <w:t xml:space="preserve"> </w:t>
      </w:r>
      <w:r>
        <w:rPr>
          <w:rStyle w:val="VerbatimChar"/>
        </w:rPr>
        <w:t xml:space="preserve">m1</w:t>
      </w:r>
      <w:r>
        <w:t xml:space="preserve">,</w:t>
      </w:r>
      <w:r>
        <w:t xml:space="preserve"> </w:t>
      </w:r>
      <w:r>
        <w:rPr>
          <w:rStyle w:val="VerbatimChar"/>
        </w:rPr>
        <w:t xml:space="preserve">NAA_sigma = rec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NAA_cor = iid</w:t>
      </w:r>
      <w:r>
        <w:t xml:space="preserve">, estimates recruitment as independent random effects with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. This is closest to a SCAA model and referred to as the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 </w:t>
      </w:r>
      <w:r>
        <w:t xml:space="preserve">model in figures.</w:t>
      </w:r>
      <w:r>
        <w:t xml:space="preserve"> </w:t>
      </w:r>
      <w:r>
        <w:rPr>
          <w:rStyle w:val="VerbatimChar"/>
        </w:rPr>
        <w:t xml:space="preserve">NAA_sigma = rec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NAA_cor = ar1_y</w:t>
      </w:r>
      <w:r>
        <w:t xml:space="preserve"> </w:t>
      </w:r>
      <w:r>
        <w:t xml:space="preserve">estimates recruitment as correlated random effects (AR1 by year).</w:t>
      </w:r>
      <w:r>
        <w:t xml:space="preserve"> </w:t>
      </w:r>
      <w:r>
        <w:rPr>
          <w:rStyle w:val="VerbatimChar"/>
        </w:rPr>
        <w:t xml:space="preserve">NAA_sigma = rec+1</w:t>
      </w:r>
      <w:r>
        <w:t xml:space="preserve"> </w:t>
      </w:r>
      <w:r>
        <w:t xml:space="preserve">is the</w:t>
      </w:r>
      <w:r>
        <w:t xml:space="preserve"> </w:t>
      </w:r>
      <w:r>
        <w:t xml:space="preserve">‘</w:t>
      </w:r>
      <w:r>
        <w:t xml:space="preserve">full state-space</w:t>
      </w:r>
      <w:r>
        <w:t xml:space="preserve">’</w:t>
      </w:r>
      <w:r>
        <w:t xml:space="preserve"> </w:t>
      </w:r>
      <w:r>
        <w:t xml:space="preserve">model with all numbers-at-age as random effects, one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for age-1 and one</w:t>
      </w:r>
      <w:r>
        <w:t xml:space="preserve"> </w:t>
      </w:r>
      <m:oMath>
        <m:sSub>
          <m:e>
            <m:r>
              <m:t>σ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for all other ages. Models</w:t>
      </w:r>
      <w:r>
        <w:t xml:space="preserve"> </w:t>
      </w:r>
      <w:r>
        <w:rPr>
          <w:rStyle w:val="VerbatimChar"/>
        </w:rPr>
        <w:t xml:space="preserve">m3</w:t>
      </w:r>
      <w:r>
        <w:t xml:space="preserve">-</w:t>
      </w:r>
      <w:r>
        <w:rPr>
          <w:rStyle w:val="VerbatimChar"/>
        </w:rPr>
        <w:t xml:space="preserve">m6</w:t>
      </w:r>
      <w:r>
        <w:t xml:space="preserve"> </w:t>
      </w:r>
      <w:r>
        <w:t xml:space="preserve">are the four in Haikun’s draft.</w:t>
      </w:r>
    </w:p>
    <w:tbl>
      <w:tblPr>
        <w:tblStyle w:val="Table"/>
        <w:tblW w:type="pct" w:w="4999.999999999999"/>
        <w:tblLook w:firstRow="1"/>
      </w:tblPr>
      <w:tblGrid>
        <w:gridCol w:w="308"/>
        <w:gridCol w:w="617"/>
        <w:gridCol w:w="617"/>
        <w:gridCol w:w="720"/>
        <w:gridCol w:w="668"/>
        <w:gridCol w:w="1028"/>
        <w:gridCol w:w="411"/>
        <w:gridCol w:w="668"/>
        <w:gridCol w:w="925"/>
        <w:gridCol w:w="1028"/>
        <w:gridCol w:w="9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σ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σ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y</m:t>
                  </m:r>
                  <m:r>
                    <m:t>e</m:t>
                  </m:r>
                  <m:r>
                    <m:t>a</m:t>
                  </m:r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a</m:t>
                  </m:r>
                  <m:r>
                    <m:t>g</m:t>
                  </m:r>
                  <m:r>
                    <m:t>e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-log</w:t>
            </w:r>
            <m:oMath>
              <m:r>
                <m:t>(</m:t>
              </m:r>
              <m:r>
                <m:rPr>
                  <m:sty m:val="p"/>
                  <m:scr m:val="script"/>
                </m:rPr>
                <m:t>L</m:t>
              </m:r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Δ</m:t>
              </m:r>
              <m:r>
                <m:t>A</m:t>
              </m:r>
              <m:r>
                <m:t>I</m:t>
              </m:r>
              <m:r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S</m:t>
                  </m:r>
                  <m:r>
                    <m:t>S</m:t>
                  </m:r>
                  <m:r>
                    <m:t>B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F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NAA-1</w:t>
            </w:r>
          </w:p>
        </w:tc>
        <w:tc>
          <w:p>
            <w:pPr>
              <w:pStyle w:val="Compact"/>
              <w:jc w:val="left"/>
            </w:pPr>
            <w:r>
              <w:t xml:space="preserve">1.18 (0.13)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-934.024</w:t>
            </w:r>
          </w:p>
        </w:tc>
        <w:tc>
          <w:p>
            <w:pPr>
              <w:pStyle w:val="Compact"/>
              <w:jc w:val="right"/>
            </w:pPr>
            <w:r>
              <w:t xml:space="preserve">-1712.0</w:t>
            </w:r>
          </w:p>
        </w:tc>
        <w:tc>
          <w:p>
            <w:pPr>
              <w:pStyle w:val="Compact"/>
              <w:jc w:val="right"/>
            </w:pPr>
            <w:r>
              <w:t xml:space="preserve">221.6</w:t>
            </w:r>
          </w:p>
        </w:tc>
        <w:tc>
          <w:p>
            <w:pPr>
              <w:pStyle w:val="Compact"/>
              <w:jc w:val="right"/>
            </w:pPr>
            <w:r>
              <w:t xml:space="preserve">5.8569</w:t>
            </w:r>
          </w:p>
        </w:tc>
        <w:tc>
          <w:p>
            <w:pPr>
              <w:pStyle w:val="Compact"/>
              <w:jc w:val="right"/>
            </w:pPr>
            <w:r>
              <w:t xml:space="preserve">0.9883</w:t>
            </w:r>
          </w:p>
        </w:tc>
        <w:tc>
          <w:p>
            <w:pPr>
              <w:pStyle w:val="Compact"/>
              <w:jc w:val="right"/>
            </w:pPr>
            <w:r>
              <w:t xml:space="preserve">-0.4163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NAA-2</w:t>
            </w:r>
          </w:p>
        </w:tc>
        <w:tc>
          <w:p>
            <w:pPr>
              <w:pStyle w:val="Compact"/>
              <w:jc w:val="left"/>
            </w:pPr>
            <w:r>
              <w:t xml:space="preserve">0.66 (0.08)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0.92 (0.05)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-957.164</w:t>
            </w:r>
          </w:p>
        </w:tc>
        <w:tc>
          <w:p>
            <w:pPr>
              <w:pStyle w:val="Compact"/>
              <w:jc w:val="right"/>
            </w:pPr>
            <w:r>
              <w:t xml:space="preserve">-1756.3</w:t>
            </w:r>
          </w:p>
        </w:tc>
        <w:tc>
          <w:p>
            <w:pPr>
              <w:pStyle w:val="Compact"/>
              <w:jc w:val="right"/>
            </w:pPr>
            <w:r>
              <w:t xml:space="preserve">177.3</w:t>
            </w:r>
          </w:p>
        </w:tc>
        <w:tc>
          <w:p>
            <w:pPr>
              <w:pStyle w:val="Compact"/>
              <w:jc w:val="right"/>
            </w:pPr>
            <w:r>
              <w:t xml:space="preserve">4.5580</w:t>
            </w:r>
          </w:p>
        </w:tc>
        <w:tc>
          <w:p>
            <w:pPr>
              <w:pStyle w:val="Compact"/>
              <w:jc w:val="right"/>
            </w:pPr>
            <w:r>
              <w:t xml:space="preserve">0.9014</w:t>
            </w:r>
          </w:p>
        </w:tc>
        <w:tc>
          <w:p>
            <w:pPr>
              <w:pStyle w:val="Compact"/>
              <w:jc w:val="right"/>
            </w:pPr>
            <w:r>
              <w:t xml:space="preserve">-0.3799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NAA-3</w:t>
            </w:r>
          </w:p>
        </w:tc>
        <w:tc>
          <w:p>
            <w:pPr>
              <w:pStyle w:val="Compact"/>
              <w:jc w:val="left"/>
            </w:pPr>
            <w:r>
              <w:t xml:space="preserve">1.01 (0.12)</w:t>
            </w:r>
          </w:p>
        </w:tc>
        <w:tc>
          <w:p>
            <w:pPr>
              <w:pStyle w:val="Compact"/>
              <w:jc w:val="left"/>
            </w:pPr>
            <w:r>
              <w:t xml:space="preserve">0.58 (0.05)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-1027.684</w:t>
            </w:r>
          </w:p>
        </w:tc>
        <w:tc>
          <w:p>
            <w:pPr>
              <w:pStyle w:val="Compact"/>
              <w:jc w:val="right"/>
            </w:pPr>
            <w:r>
              <w:t xml:space="preserve">-1897.4</w:t>
            </w:r>
          </w:p>
        </w:tc>
        <w:tc>
          <w:p>
            <w:pPr>
              <w:pStyle w:val="Compact"/>
              <w:jc w:val="right"/>
            </w:pPr>
            <w:r>
              <w:t xml:space="preserve">36.2</w:t>
            </w:r>
          </w:p>
        </w:tc>
        <w:tc>
          <w:p>
            <w:pPr>
              <w:pStyle w:val="Compact"/>
              <w:jc w:val="right"/>
            </w:pPr>
            <w:r>
              <w:t xml:space="preserve">0.9733</w:t>
            </w:r>
          </w:p>
        </w:tc>
        <w:tc>
          <w:p>
            <w:pPr>
              <w:pStyle w:val="Compact"/>
              <w:jc w:val="right"/>
            </w:pPr>
            <w:r>
              <w:t xml:space="preserve">0.2688</w:t>
            </w:r>
          </w:p>
        </w:tc>
        <w:tc>
          <w:p>
            <w:pPr>
              <w:pStyle w:val="Compact"/>
              <w:jc w:val="right"/>
            </w:pPr>
            <w:r>
              <w:t xml:space="preserve">-0.1699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NAA-4</w:t>
            </w:r>
          </w:p>
        </w:tc>
        <w:tc>
          <w:p>
            <w:pPr>
              <w:pStyle w:val="Compact"/>
              <w:jc w:val="left"/>
            </w:pPr>
            <w:r>
              <w:t xml:space="preserve">0.86 (0.12)</w:t>
            </w:r>
          </w:p>
        </w:tc>
        <w:tc>
          <w:p>
            <w:pPr>
              <w:pStyle w:val="Compact"/>
              <w:jc w:val="left"/>
            </w:pPr>
            <w:r>
              <w:t xml:space="preserve">0.53 (0.05)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0.46 (0.10)</w:t>
            </w:r>
          </w:p>
        </w:tc>
        <w:tc>
          <w:p>
            <w:pPr>
              <w:pStyle w:val="Compact"/>
              <w:jc w:val="right"/>
            </w:pPr>
            <w:r>
              <w:t xml:space="preserve">-1036.859</w:t>
            </w:r>
          </w:p>
        </w:tc>
        <w:tc>
          <w:p>
            <w:pPr>
              <w:pStyle w:val="Compact"/>
              <w:jc w:val="right"/>
            </w:pPr>
            <w:r>
              <w:t xml:space="preserve">-1913.7</w:t>
            </w:r>
          </w:p>
        </w:tc>
        <w:tc>
          <w:p>
            <w:pPr>
              <w:pStyle w:val="Compact"/>
              <w:jc w:val="right"/>
            </w:pPr>
            <w:r>
              <w:t xml:space="preserve">19.9</w:t>
            </w:r>
          </w:p>
        </w:tc>
        <w:tc>
          <w:p>
            <w:pPr>
              <w:pStyle w:val="Compact"/>
              <w:jc w:val="right"/>
            </w:pPr>
            <w:r>
              <w:t xml:space="preserve">0.5549</w:t>
            </w:r>
          </w:p>
        </w:tc>
        <w:tc>
          <w:p>
            <w:pPr>
              <w:pStyle w:val="Compact"/>
              <w:jc w:val="right"/>
            </w:pPr>
            <w:r>
              <w:t xml:space="preserve">0.1213</w:t>
            </w:r>
          </w:p>
        </w:tc>
        <w:tc>
          <w:p>
            <w:pPr>
              <w:pStyle w:val="Compact"/>
              <w:jc w:val="right"/>
            </w:pPr>
            <w:r>
              <w:t xml:space="preserve">-0.0570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NAA-5</w:t>
            </w:r>
          </w:p>
        </w:tc>
        <w:tc>
          <w:p>
            <w:pPr>
              <w:pStyle w:val="Compact"/>
              <w:jc w:val="left"/>
            </w:pPr>
            <w:r>
              <w:t xml:space="preserve">0.76 (0.11)</w:t>
            </w:r>
          </w:p>
        </w:tc>
        <w:tc>
          <w:p>
            <w:pPr>
              <w:pStyle w:val="Compact"/>
              <w:jc w:val="left"/>
            </w:pPr>
            <w:r>
              <w:t xml:space="preserve">0.48 (0.05)</w:t>
            </w:r>
          </w:p>
        </w:tc>
        <w:tc>
          <w:p>
            <w:pPr>
              <w:pStyle w:val="Compact"/>
              <w:jc w:val="left"/>
            </w:pPr>
            <w:r>
              <w:t xml:space="preserve">0.60 (0.09)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-1044.252</w:t>
            </w:r>
          </w:p>
        </w:tc>
        <w:tc>
          <w:p>
            <w:pPr>
              <w:pStyle w:val="Compact"/>
              <w:jc w:val="right"/>
            </w:pPr>
            <w:r>
              <w:t xml:space="preserve">-1928.5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0.7288</w:t>
            </w:r>
          </w:p>
        </w:tc>
        <w:tc>
          <w:p>
            <w:pPr>
              <w:pStyle w:val="Compact"/>
              <w:jc w:val="right"/>
            </w:pPr>
            <w:r>
              <w:t xml:space="preserve">0.1411</w:t>
            </w:r>
          </w:p>
        </w:tc>
        <w:tc>
          <w:p>
            <w:pPr>
              <w:pStyle w:val="Compact"/>
              <w:jc w:val="right"/>
            </w:pPr>
            <w:r>
              <w:t xml:space="preserve">-0.0762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NAA-6</w:t>
            </w:r>
          </w:p>
        </w:tc>
        <w:tc>
          <w:p>
            <w:pPr>
              <w:pStyle w:val="Compact"/>
              <w:jc w:val="left"/>
            </w:pPr>
            <w:r>
              <w:t xml:space="preserve">0.72 (0.10)</w:t>
            </w:r>
          </w:p>
        </w:tc>
        <w:tc>
          <w:p>
            <w:pPr>
              <w:pStyle w:val="Compact"/>
              <w:jc w:val="left"/>
            </w:pPr>
            <w:r>
              <w:t xml:space="preserve">0.47 (0.05)</w:t>
            </w:r>
          </w:p>
        </w:tc>
        <w:tc>
          <w:p>
            <w:pPr>
              <w:pStyle w:val="Compact"/>
              <w:jc w:val="left"/>
            </w:pPr>
            <w:r>
              <w:t xml:space="preserve">0.52 (0.10)</w:t>
            </w:r>
          </w:p>
        </w:tc>
        <w:tc>
          <w:p>
            <w:pPr>
              <w:pStyle w:val="Compact"/>
              <w:jc w:val="left"/>
            </w:pPr>
            <w:r>
              <w:t xml:space="preserve">0.34 (0.12)</w:t>
            </w:r>
          </w:p>
        </w:tc>
        <w:tc>
          <w:p>
            <w:pPr>
              <w:pStyle w:val="Compact"/>
              <w:jc w:val="right"/>
            </w:pPr>
            <w:r>
              <w:t xml:space="preserve">-1047.803</w:t>
            </w:r>
          </w:p>
        </w:tc>
        <w:tc>
          <w:p>
            <w:pPr>
              <w:pStyle w:val="Compact"/>
              <w:jc w:val="right"/>
            </w:pPr>
            <w:r>
              <w:t xml:space="preserve">-1933.6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0.5619</w:t>
            </w:r>
          </w:p>
        </w:tc>
        <w:tc>
          <w:p>
            <w:pPr>
              <w:pStyle w:val="Compact"/>
              <w:jc w:val="right"/>
            </w:pPr>
            <w:r>
              <w:t xml:space="preserve">0.0912</w:t>
            </w:r>
          </w:p>
        </w:tc>
        <w:tc>
          <w:p>
            <w:pPr>
              <w:pStyle w:val="Compact"/>
              <w:jc w:val="right"/>
            </w:pPr>
            <w:r>
              <w:t xml:space="preserve">-0.0314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table-2.-m-only-models-where-only-m-is-a-random-effect"/>
      <w:r>
        <w:t xml:space="preserve">Table 2. M only (models where only M is a random effect)</w:t>
      </w:r>
      <w:bookmarkEnd w:id="25"/>
    </w:p>
    <w:p>
      <w:pPr>
        <w:pStyle w:val="FirstParagraph"/>
      </w:pPr>
      <w:r>
        <w:t xml:space="preserve">NAA as in</w:t>
      </w:r>
      <w:r>
        <w:t xml:space="preserve"> </w:t>
      </w:r>
      <w:r>
        <w:rPr>
          <w:rStyle w:val="VerbatimChar"/>
        </w:rPr>
        <w:t xml:space="preserve">m1</w:t>
      </w:r>
      <w:r>
        <w:t xml:space="preserve"> </w:t>
      </w:r>
      <w:r>
        <w:t xml:space="preserve">above (base model</w:t>
      </w:r>
      <w:r>
        <w:t xml:space="preserve"> </w:t>
      </w:r>
      <m:oMath>
        <m:r>
          <m:t>≈</m:t>
        </m:r>
      </m:oMath>
      <w:r>
        <w:t xml:space="preserve"> </w:t>
      </w:r>
      <w:r>
        <w:t xml:space="preserve">SCAA, NOT</w:t>
      </w:r>
      <w:r>
        <w:t xml:space="preserve"> </w:t>
      </w:r>
      <w:r>
        <w:t xml:space="preserve">“</w:t>
      </w:r>
      <w:r>
        <w:t xml:space="preserve">full state-space</w:t>
      </w:r>
      <w:r>
        <w:t xml:space="preserve">”</w:t>
      </w:r>
      <w:r>
        <w:t xml:space="preserve">). Just estimating</w:t>
      </w:r>
      <w:r>
        <w:t xml:space="preserve"> </w:t>
      </w:r>
      <m:oMath>
        <m:sSub>
          <m:e>
            <m:r>
              <m:t>μ</m:t>
            </m:r>
          </m:e>
          <m:sub>
            <m:r>
              <m:t>M</m:t>
            </m:r>
          </m:sub>
        </m:sSub>
      </m:oMath>
      <w:r>
        <w:t xml:space="preserve">, without any random effects on NAA or M, reduces AIC and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a lot (compare</w:t>
      </w:r>
      <w:r>
        <w:t xml:space="preserve"> </w:t>
      </w:r>
      <w:r>
        <w:rPr>
          <w:rStyle w:val="VerbatimChar"/>
        </w:rPr>
        <w:t xml:space="preserve">m1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m6</w:t>
      </w:r>
      <w:r>
        <w:t xml:space="preserve">).</w:t>
      </w:r>
    </w:p>
    <w:tbl>
      <w:tblPr>
        <w:tblStyle w:val="Table"/>
        <w:tblW w:type="pct" w:w="4999.999999999999"/>
        <w:tblLook w:firstRow="1"/>
      </w:tblPr>
      <w:tblGrid>
        <w:gridCol w:w="308"/>
        <w:gridCol w:w="617"/>
        <w:gridCol w:w="617"/>
        <w:gridCol w:w="720"/>
        <w:gridCol w:w="668"/>
        <w:gridCol w:w="1028"/>
        <w:gridCol w:w="411"/>
        <w:gridCol w:w="668"/>
        <w:gridCol w:w="925"/>
        <w:gridCol w:w="1028"/>
        <w:gridCol w:w="9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μ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σ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y</m:t>
                  </m:r>
                  <m:r>
                    <m:t>e</m:t>
                  </m:r>
                  <m:r>
                    <m:t>a</m:t>
                  </m:r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ρ</m:t>
                  </m:r>
                </m:e>
                <m:sub>
                  <m:r>
                    <m:t>a</m:t>
                  </m:r>
                  <m:r>
                    <m:t>g</m:t>
                  </m:r>
                  <m:r>
                    <m:t>e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-log</w:t>
            </w:r>
            <m:oMath>
              <m:r>
                <m:t>(</m:t>
              </m:r>
              <m:r>
                <m:rPr>
                  <m:sty m:val="p"/>
                  <m:scr m:val="script"/>
                </m:rPr>
                <m:t>L</m:t>
              </m:r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Δ</m:t>
              </m:r>
              <m:r>
                <m:t>A</m:t>
              </m:r>
              <m:r>
                <m:t>I</m:t>
              </m:r>
              <m:r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S</m:t>
                  </m:r>
                  <m:r>
                    <m:t>S</m:t>
                  </m:r>
                  <m:r>
                    <m:t>B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F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M-1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-934.024</w:t>
            </w:r>
          </w:p>
        </w:tc>
        <w:tc>
          <w:p>
            <w:pPr>
              <w:pStyle w:val="Compact"/>
              <w:jc w:val="right"/>
            </w:pPr>
            <w:r>
              <w:t xml:space="preserve">-1712.0</w:t>
            </w:r>
          </w:p>
        </w:tc>
        <w:tc>
          <w:p>
            <w:pPr>
              <w:pStyle w:val="Compact"/>
              <w:jc w:val="right"/>
            </w:pPr>
            <w:r>
              <w:t xml:space="preserve">227.5</w:t>
            </w:r>
          </w:p>
        </w:tc>
        <w:tc>
          <w:p>
            <w:pPr>
              <w:pStyle w:val="Compact"/>
              <w:jc w:val="right"/>
            </w:pPr>
            <w:r>
              <w:t xml:space="preserve">5.8569</w:t>
            </w:r>
          </w:p>
        </w:tc>
        <w:tc>
          <w:p>
            <w:pPr>
              <w:pStyle w:val="Compact"/>
              <w:jc w:val="right"/>
            </w:pPr>
            <w:r>
              <w:t xml:space="preserve">0.9883</w:t>
            </w:r>
          </w:p>
        </w:tc>
        <w:tc>
          <w:p>
            <w:pPr>
              <w:pStyle w:val="Compact"/>
              <w:jc w:val="right"/>
            </w:pPr>
            <w:r>
              <w:t xml:space="preserve">-0.4163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M-2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1.18 (0.09)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-1037.981</w:t>
            </w:r>
          </w:p>
        </w:tc>
        <w:tc>
          <w:p>
            <w:pPr>
              <w:pStyle w:val="Compact"/>
              <w:jc w:val="right"/>
            </w:pPr>
            <w:r>
              <w:t xml:space="preserve">-1918.0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0.1171</w:t>
            </w:r>
          </w:p>
        </w:tc>
        <w:tc>
          <w:p>
            <w:pPr>
              <w:pStyle w:val="Compact"/>
              <w:jc w:val="right"/>
            </w:pPr>
            <w:r>
              <w:t xml:space="preserve">0.1977</w:t>
            </w:r>
          </w:p>
        </w:tc>
        <w:tc>
          <w:p>
            <w:pPr>
              <w:pStyle w:val="Compact"/>
              <w:jc w:val="right"/>
            </w:pPr>
            <w:r>
              <w:t xml:space="preserve">-0.1257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M-3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1.15 (0.43)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0.25 (0.49)</w:t>
            </w:r>
          </w:p>
        </w:tc>
        <w:tc>
          <w:p>
            <w:pPr>
              <w:pStyle w:val="Compact"/>
              <w:jc w:val="right"/>
            </w:pPr>
            <w:r>
              <w:t xml:space="preserve">-979.398</w:t>
            </w:r>
          </w:p>
        </w:tc>
        <w:tc>
          <w:p>
            <w:pPr>
              <w:pStyle w:val="Compact"/>
              <w:jc w:val="right"/>
            </w:pPr>
            <w:r>
              <w:t xml:space="preserve">-1798.8</w:t>
            </w:r>
          </w:p>
        </w:tc>
        <w:tc>
          <w:p>
            <w:pPr>
              <w:pStyle w:val="Compact"/>
              <w:jc w:val="right"/>
            </w:pPr>
            <w:r>
              <w:t xml:space="preserve">140.7</w:t>
            </w:r>
          </w:p>
        </w:tc>
        <w:tc>
          <w:p>
            <w:pPr>
              <w:pStyle w:val="Compact"/>
              <w:jc w:val="right"/>
            </w:pPr>
            <w:r>
              <w:t xml:space="preserve">2.0562</w:t>
            </w:r>
          </w:p>
        </w:tc>
        <w:tc>
          <w:p>
            <w:pPr>
              <w:pStyle w:val="Compact"/>
              <w:jc w:val="right"/>
            </w:pPr>
            <w:r>
              <w:t xml:space="preserve">0.0979</w:t>
            </w:r>
          </w:p>
        </w:tc>
        <w:tc>
          <w:p>
            <w:pPr>
              <w:pStyle w:val="Compact"/>
              <w:jc w:val="right"/>
            </w:pPr>
            <w:r>
              <w:t xml:space="preserve">-0.0820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M-4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0.13 (0.06)</w:t>
            </w:r>
          </w:p>
        </w:tc>
        <w:tc>
          <w:p>
            <w:pPr>
              <w:pStyle w:val="Compact"/>
              <w:jc w:val="left"/>
            </w:pPr>
            <w:r>
              <w:t xml:space="preserve">0.98 (0.02)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-988.290</w:t>
            </w:r>
          </w:p>
        </w:tc>
        <w:tc>
          <w:p>
            <w:pPr>
              <w:pStyle w:val="Compact"/>
              <w:jc w:val="right"/>
            </w:pPr>
            <w:r>
              <w:t xml:space="preserve">-1816.6</w:t>
            </w:r>
          </w:p>
        </w:tc>
        <w:tc>
          <w:p>
            <w:pPr>
              <w:pStyle w:val="Compact"/>
              <w:jc w:val="right"/>
            </w:pPr>
            <w:r>
              <w:t xml:space="preserve">122.9</w:t>
            </w:r>
          </w:p>
        </w:tc>
        <w:tc>
          <w:p>
            <w:pPr>
              <w:pStyle w:val="Compact"/>
              <w:jc w:val="right"/>
            </w:pPr>
            <w:r>
              <w:t xml:space="preserve">1.1929</w:t>
            </w:r>
          </w:p>
        </w:tc>
        <w:tc>
          <w:p>
            <w:pPr>
              <w:pStyle w:val="Compact"/>
              <w:jc w:val="right"/>
            </w:pPr>
            <w:r>
              <w:t xml:space="preserve">-0.1171</w:t>
            </w:r>
          </w:p>
        </w:tc>
        <w:tc>
          <w:p>
            <w:pPr>
              <w:pStyle w:val="Compact"/>
              <w:jc w:val="right"/>
            </w:pPr>
            <w:r>
              <w:t xml:space="preserve">0.3044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M-5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0.89 (0.12)</w:t>
            </w:r>
          </w:p>
        </w:tc>
        <w:tc>
          <w:p>
            <w:pPr>
              <w:pStyle w:val="Compact"/>
              <w:jc w:val="left"/>
            </w:pPr>
            <w:r>
              <w:t xml:space="preserve">0.47 (0.21)</w:t>
            </w:r>
          </w:p>
        </w:tc>
        <w:tc>
          <w:p>
            <w:pPr>
              <w:pStyle w:val="Compact"/>
              <w:jc w:val="left"/>
            </w:pPr>
            <w:r>
              <w:t xml:space="preserve">0.39 (0.14)</w:t>
            </w:r>
          </w:p>
        </w:tc>
        <w:tc>
          <w:p>
            <w:pPr>
              <w:pStyle w:val="Compact"/>
              <w:jc w:val="right"/>
            </w:pPr>
            <w:r>
              <w:t xml:space="preserve">-1042.965</w:t>
            </w:r>
          </w:p>
        </w:tc>
        <w:tc>
          <w:p>
            <w:pPr>
              <w:pStyle w:val="Compact"/>
              <w:jc w:val="right"/>
            </w:pPr>
            <w:r>
              <w:t xml:space="preserve">-1923.9</w:t>
            </w:r>
          </w:p>
        </w:tc>
        <w:tc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p>
            <w:pPr>
              <w:pStyle w:val="Compact"/>
              <w:jc w:val="right"/>
            </w:pPr>
            <w:r>
              <w:t xml:space="preserve">-0.0662</w:t>
            </w:r>
          </w:p>
        </w:tc>
        <w:tc>
          <w:p>
            <w:pPr>
              <w:pStyle w:val="Compact"/>
              <w:jc w:val="right"/>
            </w:pPr>
            <w:r>
              <w:t xml:space="preserve">0.0959</w:t>
            </w:r>
          </w:p>
        </w:tc>
        <w:tc>
          <w:p>
            <w:pPr>
              <w:pStyle w:val="Compact"/>
              <w:jc w:val="right"/>
            </w:pPr>
            <w:r>
              <w:t xml:space="preserve">-0.0611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M-6</w:t>
            </w:r>
          </w:p>
        </w:tc>
        <w:tc>
          <w:p>
            <w:pPr>
              <w:pStyle w:val="Compact"/>
              <w:jc w:val="left"/>
            </w:pPr>
            <w:r>
              <w:t xml:space="preserve">0.79 (0.04)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-976.715</w:t>
            </w:r>
          </w:p>
        </w:tc>
        <w:tc>
          <w:p>
            <w:pPr>
              <w:pStyle w:val="Compact"/>
              <w:jc w:val="right"/>
            </w:pPr>
            <w:r>
              <w:t xml:space="preserve">-1795.4</w:t>
            </w:r>
          </w:p>
        </w:tc>
        <w:tc>
          <w:p>
            <w:pPr>
              <w:pStyle w:val="Compact"/>
              <w:jc w:val="right"/>
            </w:pPr>
            <w:r>
              <w:t xml:space="preserve">144.1</w:t>
            </w:r>
          </w:p>
        </w:tc>
        <w:tc>
          <w:p>
            <w:pPr>
              <w:pStyle w:val="Compact"/>
              <w:jc w:val="right"/>
            </w:pPr>
            <w:r>
              <w:t xml:space="preserve">2.3550</w:t>
            </w:r>
          </w:p>
        </w:tc>
        <w:tc>
          <w:p>
            <w:pPr>
              <w:pStyle w:val="Compact"/>
              <w:jc w:val="right"/>
            </w:pPr>
            <w:r>
              <w:t xml:space="preserve">0.1465</w:t>
            </w:r>
          </w:p>
        </w:tc>
        <w:tc>
          <w:p>
            <w:pPr>
              <w:pStyle w:val="Compact"/>
              <w:jc w:val="right"/>
            </w:pPr>
            <w:r>
              <w:t xml:space="preserve">-0.0936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M-7</w:t>
            </w:r>
          </w:p>
        </w:tc>
        <w:tc>
          <w:p>
            <w:pPr>
              <w:pStyle w:val="Compact"/>
              <w:jc w:val="left"/>
            </w:pPr>
            <w:r>
              <w:t xml:space="preserve">0.70 (0.12)</w:t>
            </w:r>
          </w:p>
        </w:tc>
        <w:tc>
          <w:p>
            <w:pPr>
              <w:pStyle w:val="Compact"/>
              <w:jc w:val="left"/>
            </w:pPr>
            <w:r>
              <w:t xml:space="preserve">0.71 (0.10)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-1045.295</w:t>
            </w:r>
          </w:p>
        </w:tc>
        <w:tc>
          <w:p>
            <w:pPr>
              <w:pStyle w:val="Compact"/>
              <w:jc w:val="right"/>
            </w:pPr>
            <w:r>
              <w:t xml:space="preserve">-1930.6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  <w:tc>
          <w:p>
            <w:pPr>
              <w:pStyle w:val="Compact"/>
              <w:jc w:val="right"/>
            </w:pPr>
            <w:r>
              <w:t xml:space="preserve">-0.1302</w:t>
            </w:r>
          </w:p>
        </w:tc>
        <w:tc>
          <w:p>
            <w:pPr>
              <w:pStyle w:val="Compact"/>
              <w:jc w:val="right"/>
            </w:pPr>
            <w:r>
              <w:t xml:space="preserve">-0.0336</w:t>
            </w:r>
          </w:p>
        </w:tc>
        <w:tc>
          <w:p>
            <w:pPr>
              <w:pStyle w:val="Compact"/>
              <w:jc w:val="right"/>
            </w:pPr>
            <w:r>
              <w:t xml:space="preserve">0.0867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M-8</w:t>
            </w:r>
          </w:p>
        </w:tc>
        <w:tc>
          <w:p>
            <w:pPr>
              <w:pStyle w:val="Compact"/>
              <w:jc w:val="left"/>
            </w:pPr>
            <w:r>
              <w:t xml:space="preserve">0.81 (0.11)</w:t>
            </w:r>
          </w:p>
        </w:tc>
        <w:tc>
          <w:p>
            <w:pPr>
              <w:pStyle w:val="Compact"/>
              <w:jc w:val="left"/>
            </w:pPr>
            <w:r>
              <w:t xml:space="preserve">0.42 (0.16)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-0.86 (0.19)</w:t>
            </w:r>
          </w:p>
        </w:tc>
        <w:tc>
          <w:p>
            <w:pPr>
              <w:pStyle w:val="Compact"/>
              <w:jc w:val="right"/>
            </w:pPr>
            <w:r>
              <w:t xml:space="preserve">-983.717</w:t>
            </w:r>
          </w:p>
        </w:tc>
        <w:tc>
          <w:p>
            <w:pPr>
              <w:pStyle w:val="Compact"/>
              <w:jc w:val="right"/>
            </w:pPr>
            <w:r>
              <w:t xml:space="preserve">-1805.4</w:t>
            </w:r>
          </w:p>
        </w:tc>
        <w:tc>
          <w:p>
            <w:pPr>
              <w:pStyle w:val="Compact"/>
              <w:jc w:val="right"/>
            </w:pPr>
            <w:r>
              <w:t xml:space="preserve">134.1</w:t>
            </w:r>
          </w:p>
        </w:tc>
        <w:tc>
          <w:p>
            <w:pPr>
              <w:pStyle w:val="Compact"/>
              <w:jc w:val="right"/>
            </w:pPr>
            <w:r>
              <w:t xml:space="preserve">1.9773</w:t>
            </w:r>
          </w:p>
        </w:tc>
        <w:tc>
          <w:p>
            <w:pPr>
              <w:pStyle w:val="Compact"/>
              <w:jc w:val="right"/>
            </w:pPr>
            <w:r>
              <w:t xml:space="preserve">0.1204</w:t>
            </w:r>
          </w:p>
        </w:tc>
        <w:tc>
          <w:p>
            <w:pPr>
              <w:pStyle w:val="Compact"/>
              <w:jc w:val="right"/>
            </w:pPr>
            <w:r>
              <w:t xml:space="preserve">-0.0741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M-9</w:t>
            </w:r>
          </w:p>
        </w:tc>
        <w:tc>
          <w:p>
            <w:pPr>
              <w:pStyle w:val="Compact"/>
              <w:jc w:val="left"/>
            </w:pPr>
            <w:r>
              <w:t xml:space="preserve">0.36 (0.22)</w:t>
            </w:r>
          </w:p>
        </w:tc>
        <w:tc>
          <w:p>
            <w:pPr>
              <w:pStyle w:val="Compact"/>
              <w:jc w:val="left"/>
            </w:pPr>
            <w:r>
              <w:t xml:space="preserve">0.12 (0.07)</w:t>
            </w:r>
          </w:p>
        </w:tc>
        <w:tc>
          <w:p>
            <w:pPr>
              <w:pStyle w:val="Compact"/>
              <w:jc w:val="left"/>
            </w:pPr>
            <w:r>
              <w:t xml:space="preserve">0.98 (0.03)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-983.959</w:t>
            </w:r>
          </w:p>
        </w:tc>
        <w:tc>
          <w:p>
            <w:pPr>
              <w:pStyle w:val="Compact"/>
              <w:jc w:val="right"/>
            </w:pPr>
            <w:r>
              <w:t xml:space="preserve">-1805.9</w:t>
            </w:r>
          </w:p>
        </w:tc>
        <w:tc>
          <w:p>
            <w:pPr>
              <w:pStyle w:val="Compact"/>
              <w:jc w:val="right"/>
            </w:pPr>
            <w:r>
              <w:t xml:space="preserve">133.6</w:t>
            </w:r>
          </w:p>
        </w:tc>
        <w:tc>
          <w:p>
            <w:pPr>
              <w:pStyle w:val="Compact"/>
              <w:jc w:val="right"/>
            </w:pPr>
            <w:r>
              <w:t xml:space="preserve">1.5533</w:t>
            </w:r>
          </w:p>
        </w:tc>
        <w:tc>
          <w:p>
            <w:pPr>
              <w:pStyle w:val="Compact"/>
              <w:jc w:val="right"/>
            </w:pPr>
            <w:r>
              <w:t xml:space="preserve">-0.1007</w:t>
            </w:r>
          </w:p>
        </w:tc>
        <w:tc>
          <w:p>
            <w:pPr>
              <w:pStyle w:val="Compact"/>
              <w:jc w:val="right"/>
            </w:pPr>
            <w:r>
              <w:t xml:space="preserve">0.2641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M-10</w:t>
            </w:r>
          </w:p>
        </w:tc>
        <w:tc>
          <w:p>
            <w:pPr>
              <w:pStyle w:val="Compact"/>
              <w:jc w:val="left"/>
            </w:pPr>
            <w:r>
              <w:t xml:space="preserve">0.83 (0.16)</w:t>
            </w:r>
          </w:p>
        </w:tc>
        <w:tc>
          <w:p>
            <w:pPr>
              <w:pStyle w:val="Compact"/>
              <w:jc w:val="left"/>
            </w:pPr>
            <w:r>
              <w:t xml:space="preserve">0.56 (0.08)</w:t>
            </w:r>
          </w:p>
        </w:tc>
        <w:tc>
          <w:p>
            <w:pPr>
              <w:pStyle w:val="Compact"/>
              <w:jc w:val="left"/>
            </w:pPr>
            <w:r>
              <w:t xml:space="preserve">0.37 (0.14)</w:t>
            </w:r>
          </w:p>
        </w:tc>
        <w:tc>
          <w:p>
            <w:pPr>
              <w:pStyle w:val="Compact"/>
              <w:jc w:val="left"/>
            </w:pPr>
            <w:r>
              <w:t xml:space="preserve">0.30 (0.16)</w:t>
            </w:r>
          </w:p>
        </w:tc>
        <w:tc>
          <w:p>
            <w:pPr>
              <w:pStyle w:val="Compact"/>
              <w:jc w:val="right"/>
            </w:pPr>
            <w:r>
              <w:t xml:space="preserve">-1051.753</w:t>
            </w:r>
          </w:p>
        </w:tc>
        <w:tc>
          <w:p>
            <w:pPr>
              <w:pStyle w:val="Compact"/>
              <w:jc w:val="right"/>
            </w:pPr>
            <w:r>
              <w:t xml:space="preserve">-1939.5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-0.3085</w:t>
            </w:r>
          </w:p>
        </w:tc>
        <w:tc>
          <w:p>
            <w:pPr>
              <w:pStyle w:val="Compact"/>
              <w:jc w:val="right"/>
            </w:pPr>
            <w:r>
              <w:t xml:space="preserve">-0.1697</w:t>
            </w:r>
          </w:p>
        </w:tc>
        <w:tc>
          <w:p>
            <w:pPr>
              <w:pStyle w:val="Compact"/>
              <w:jc w:val="right"/>
            </w:pPr>
            <w:r>
              <w:t xml:space="preserve">0.2692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table-3.-naa-m."/>
      <w:r>
        <w:t xml:space="preserve">Table 3. NAA + M.</w:t>
      </w:r>
      <w:bookmarkEnd w:id="26"/>
    </w:p>
    <w:tbl>
      <w:tblPr>
        <w:tblStyle w:val="Table"/>
        <w:tblW w:type="pct" w:w="4999.999999999999"/>
        <w:tblLook w:firstRow="1"/>
      </w:tblPr>
      <w:tblGrid>
        <w:gridCol w:w="395"/>
        <w:gridCol w:w="940"/>
        <w:gridCol w:w="841"/>
        <w:gridCol w:w="940"/>
        <w:gridCol w:w="989"/>
        <w:gridCol w:w="395"/>
        <w:gridCol w:w="643"/>
        <w:gridCol w:w="890"/>
        <w:gridCol w:w="989"/>
        <w:gridCol w:w="8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effects NAA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effects 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</w:t>
            </w:r>
            <w:r>
              <w:t xml:space="preserve"> </w:t>
            </w:r>
            <m:oMath>
              <m:sSub>
                <m:e>
                  <m:r>
                    <m:t>μ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-log</w:t>
            </w:r>
            <m:oMath>
              <m:r>
                <m:t>(</m:t>
              </m:r>
              <m:r>
                <m:rPr>
                  <m:sty m:val="p"/>
                  <m:scr m:val="script"/>
                </m:rPr>
                <m:t>L</m:t>
              </m:r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Δ</m:t>
              </m:r>
              <m:r>
                <m:t>A</m:t>
              </m:r>
              <m:r>
                <m:t>I</m:t>
              </m:r>
              <m:r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S</m:t>
                  </m:r>
                  <m:r>
                    <m:t>S</m:t>
                  </m:r>
                  <m:r>
                    <m:t>B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Mohn’s</w:t>
            </w:r>
            <w:r>
              <w:t xml:space="preserve"> </w:t>
            </w:r>
            <m:oMath>
              <m:sSub>
                <m:e>
                  <m:r>
                    <m:t>ρ</m:t>
                  </m:r>
                </m:e>
                <m:sub>
                  <m:r>
                    <m:t>F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NAA-M-1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-1051.090</w:t>
            </w:r>
          </w:p>
        </w:tc>
        <w:tc>
          <w:p>
            <w:pPr>
              <w:pStyle w:val="Compact"/>
              <w:jc w:val="left"/>
            </w:pPr>
            <w:r>
              <w:t xml:space="preserve">-1942.2</w:t>
            </w:r>
          </w:p>
        </w:tc>
        <w:tc>
          <w:p>
            <w:pPr>
              <w:pStyle w:val="Compact"/>
              <w:jc w:val="left"/>
            </w:pPr>
            <w:r>
              <w:t xml:space="preserve">17.3</w:t>
            </w:r>
          </w:p>
        </w:tc>
        <w:tc>
          <w:p>
            <w:pPr>
              <w:pStyle w:val="Compact"/>
              <w:jc w:val="left"/>
            </w:pPr>
            <w:r>
              <w:t xml:space="preserve">0.2028</w:t>
            </w:r>
          </w:p>
        </w:tc>
        <w:tc>
          <w:p>
            <w:pPr>
              <w:pStyle w:val="Compact"/>
              <w:jc w:val="left"/>
            </w:pPr>
            <w:r>
              <w:t xml:space="preserve">0.1685</w:t>
            </w:r>
          </w:p>
        </w:tc>
        <w:tc>
          <w:p>
            <w:pPr>
              <w:pStyle w:val="Compact"/>
              <w:jc w:val="left"/>
            </w:pPr>
            <w:r>
              <w:t xml:space="preserve">-0.0942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NAA-M-2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-1048.691</w:t>
            </w:r>
          </w:p>
        </w:tc>
        <w:tc>
          <w:p>
            <w:pPr>
              <w:pStyle w:val="Compact"/>
              <w:jc w:val="left"/>
            </w:pPr>
            <w:r>
              <w:t xml:space="preserve">-1933.4</w:t>
            </w:r>
          </w:p>
        </w:tc>
        <w:tc>
          <w:p>
            <w:pPr>
              <w:pStyle w:val="Compact"/>
              <w:jc w:val="left"/>
            </w:pPr>
            <w:r>
              <w:t xml:space="preserve">26.1</w:t>
            </w:r>
          </w:p>
        </w:tc>
        <w:tc>
          <w:p>
            <w:pPr>
              <w:pStyle w:val="Compact"/>
              <w:jc w:val="left"/>
            </w:pPr>
            <w:r>
              <w:t xml:space="preserve">-0.2201</w:t>
            </w:r>
          </w:p>
        </w:tc>
        <w:tc>
          <w:p>
            <w:pPr>
              <w:pStyle w:val="Compact"/>
              <w:jc w:val="left"/>
            </w:pPr>
            <w:r>
              <w:t xml:space="preserve">0.0197</w:t>
            </w:r>
          </w:p>
        </w:tc>
        <w:tc>
          <w:p>
            <w:pPr>
              <w:pStyle w:val="Compact"/>
              <w:jc w:val="left"/>
            </w:pPr>
            <w:r>
              <w:t xml:space="preserve">0.0392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NAA-M-3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NAA-M-4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-1054.627</w:t>
            </w:r>
          </w:p>
        </w:tc>
        <w:tc>
          <w:p>
            <w:pPr>
              <w:pStyle w:val="Compact"/>
              <w:jc w:val="left"/>
            </w:pPr>
            <w:r>
              <w:t xml:space="preserve">-1943.3</w:t>
            </w:r>
          </w:p>
        </w:tc>
        <w:tc>
          <w:p>
            <w:pPr>
              <w:pStyle w:val="Compact"/>
              <w:jc w:val="left"/>
            </w:pPr>
            <w:r>
              <w:t xml:space="preserve">16.2</w:t>
            </w:r>
          </w:p>
        </w:tc>
        <w:tc>
          <w:p>
            <w:pPr>
              <w:pStyle w:val="Compact"/>
              <w:jc w:val="left"/>
            </w:pPr>
            <w:r>
              <w:t xml:space="preserve">-0.5172</w:t>
            </w:r>
          </w:p>
        </w:tc>
        <w:tc>
          <w:p>
            <w:pPr>
              <w:pStyle w:val="Compact"/>
              <w:jc w:val="left"/>
            </w:pPr>
            <w:r>
              <w:t xml:space="preserve">-0.278</w:t>
            </w:r>
          </w:p>
        </w:tc>
        <w:tc>
          <w:p>
            <w:pPr>
              <w:pStyle w:val="Compact"/>
              <w:jc w:val="left"/>
            </w:pPr>
            <w:r>
              <w:t xml:space="preserve">0.5438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NAA-M-5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-1061.727</w:t>
            </w:r>
          </w:p>
        </w:tc>
        <w:tc>
          <w:p>
            <w:pPr>
              <w:pStyle w:val="Compact"/>
              <w:jc w:val="left"/>
            </w:pPr>
            <w:r>
              <w:t xml:space="preserve">-1959.5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0.5177</w:t>
            </w:r>
          </w:p>
        </w:tc>
        <w:tc>
          <w:p>
            <w:pPr>
              <w:pStyle w:val="Compact"/>
              <w:jc w:val="left"/>
            </w:pPr>
            <w:r>
              <w:t xml:space="preserve">0.1024</w:t>
            </w:r>
          </w:p>
        </w:tc>
        <w:tc>
          <w:p>
            <w:pPr>
              <w:pStyle w:val="Compact"/>
              <w:jc w:val="left"/>
            </w:pPr>
            <w:r>
              <w:t xml:space="preserve">-0.0377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NAA-M-6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NAA-M-7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NAA-M-8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table-4.-naa-m-cpi."/>
      <w:r>
        <w:t xml:space="preserve">Table 4. NAA + M + CPI.</w:t>
      </w:r>
      <w:bookmarkEnd w:id="27"/>
    </w:p>
    <w:tbl>
      <w:tblPr>
        <w:tblStyle w:val="Table"/>
        <w:tblW w:type="pct" w:w="4999.999999999999"/>
        <w:tblLook w:firstRow="1"/>
      </w:tblPr>
      <w:tblGrid>
        <w:gridCol w:w="683"/>
        <w:gridCol w:w="1253"/>
        <w:gridCol w:w="1139"/>
        <w:gridCol w:w="1082"/>
        <w:gridCol w:w="569"/>
        <w:gridCol w:w="455"/>
        <w:gridCol w:w="740"/>
        <w:gridCol w:w="626"/>
        <w:gridCol w:w="740"/>
        <w:gridCol w:w="62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effects on NAA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 effects on 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</w:t>
            </w:r>
            <w:r>
              <w:t xml:space="preserve"> </w:t>
            </w:r>
            <m:oMath>
              <m:sSub>
                <m:e>
                  <m:r>
                    <m:t>μ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Δ</m:t>
              </m:r>
              <m:r>
                <m:t>A</m:t>
              </m:r>
              <m:r>
                <m:t>I</m:t>
              </m:r>
              <m:r>
                <m:t>C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ρ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ρ</m:t>
                  </m:r>
                </m:e>
                <m:sub>
                  <m:r>
                    <m:t>S</m:t>
                  </m:r>
                  <m:r>
                    <m:t>S</m:t>
                  </m:r>
                  <m:r>
                    <m:t>B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ρ</m:t>
                  </m:r>
                </m:e>
                <m:sub>
                  <m:r>
                    <m:t>F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NAA-M-CPI-1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-996.345</w:t>
            </w:r>
          </w:p>
        </w:tc>
        <w:tc>
          <w:p>
            <w:pPr>
              <w:pStyle w:val="Compact"/>
              <w:jc w:val="right"/>
            </w:pPr>
            <w:r>
              <w:t xml:space="preserve">-1824.7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0.1645</w:t>
            </w:r>
          </w:p>
        </w:tc>
        <w:tc>
          <w:p>
            <w:pPr>
              <w:pStyle w:val="Compact"/>
              <w:jc w:val="right"/>
            </w:pPr>
            <w:r>
              <w:t xml:space="preserve">0.1659</w:t>
            </w:r>
          </w:p>
        </w:tc>
        <w:tc>
          <w:p>
            <w:pPr>
              <w:pStyle w:val="Compact"/>
              <w:jc w:val="right"/>
            </w:pPr>
            <w:r>
              <w:t xml:space="preserve">-0.0938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NAA-M-CPI-2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-994.979</w:t>
            </w:r>
          </w:p>
        </w:tc>
        <w:tc>
          <w:p>
            <w:pPr>
              <w:pStyle w:val="Compact"/>
              <w:jc w:val="right"/>
            </w:pPr>
            <w:r>
              <w:t xml:space="preserve">-1818.0</w:t>
            </w:r>
          </w:p>
        </w:tc>
        <w:tc>
          <w:p>
            <w:pPr>
              <w:pStyle w:val="Compact"/>
              <w:jc w:val="lef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-0.1107</w:t>
            </w:r>
          </w:p>
        </w:tc>
        <w:tc>
          <w:p>
            <w:pPr>
              <w:pStyle w:val="Compact"/>
              <w:jc w:val="right"/>
            </w:pPr>
            <w:r>
              <w:t xml:space="preserve">0.0204</w:t>
            </w:r>
          </w:p>
        </w:tc>
        <w:tc>
          <w:p>
            <w:pPr>
              <w:pStyle w:val="Compact"/>
              <w:jc w:val="right"/>
            </w:pPr>
            <w:r>
              <w:t xml:space="preserve">0.0630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NAA-M-CPI-3</w:t>
            </w:r>
          </w:p>
        </w:tc>
        <w:tc>
          <w:p>
            <w:pPr>
              <w:pStyle w:val="Compact"/>
              <w:jc w:val="left"/>
            </w:pPr>
            <w:r>
              <w:t xml:space="preserve">IID</w:t>
            </w:r>
          </w:p>
        </w:tc>
        <w:tc>
          <w:p>
            <w:pPr>
              <w:pStyle w:val="Compact"/>
              <w:jc w:val="left"/>
            </w:pPr>
            <w:r>
              <w:t xml:space="preserve">2D AR1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-1001.182</w:t>
            </w:r>
          </w:p>
        </w:tc>
        <w:tc>
          <w:p>
            <w:pPr>
              <w:pStyle w:val="Compact"/>
              <w:jc w:val="right"/>
            </w:pPr>
            <w:r>
              <w:t xml:space="preserve">-1828.4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-0.4173</w:t>
            </w:r>
          </w:p>
        </w:tc>
        <w:tc>
          <w:p>
            <w:pPr>
              <w:pStyle w:val="Compact"/>
              <w:jc w:val="right"/>
            </w:pPr>
            <w:r>
              <w:t xml:space="preserve">-0.2457</w:t>
            </w:r>
          </w:p>
        </w:tc>
        <w:tc>
          <w:p>
            <w:pPr>
              <w:pStyle w:val="Compact"/>
              <w:jc w:val="right"/>
            </w:pPr>
            <w:r>
              <w:t xml:space="preserve">0.4749</w:t>
            </w:r>
          </w:p>
        </w:tc>
      </w:tr>
    </w:tbl>
    <w:p>
      <w:pPr>
        <w:pStyle w:val="Heading2"/>
      </w:pPr>
      <w:bookmarkStart w:id="28" w:name="figures"/>
      <w:r>
        <w:t xml:space="preserve">Figures</w:t>
      </w:r>
      <w:bookmarkEnd w:id="28"/>
    </w:p>
    <w:p>
      <w:pPr>
        <w:pStyle w:val="Heading4"/>
      </w:pPr>
      <w:bookmarkStart w:id="29" w:name="fig-1.-naa-devs-in-models-where-only-naa-are-random-effects"/>
      <w:r>
        <w:t xml:space="preserve">Fig 1. NAA devs (in models where only NAA are random effects)</w:t>
      </w:r>
      <w:bookmarkEnd w:id="29"/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prelim_results_files/figure-docx/unnamed-chunk-5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fig-2.-m-devs-in-models-where-only-m-is-random-effect"/>
      <w:r>
        <w:t xml:space="preserve">Fig 2. M devs (in models where only M is random effect)</w:t>
      </w:r>
      <w:bookmarkEnd w:id="31"/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prelim_results_files/figure-docx/unnamed-chunk-6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3" w:name="fig-3.-adding-cpi-recruitment-effect-reduces-rho_r-and-aic.-rho_ssb-and-rho_f-unchanged."/>
      <w:r>
        <w:t xml:space="preserve">Fig 3. Adding CPI-Recruitment effect reduces</w:t>
      </w:r>
      <w:r>
        <w:t xml:space="preserve"> </w:t>
      </w:r>
      <m:oMath>
        <m:sSub>
          <m:e>
            <m:r>
              <m:t>ρ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 AIC.</w:t>
      </w:r>
      <w:r>
        <w:t xml:space="preserve"> </w:t>
      </w:r>
      <m:oMath>
        <m:sSub>
          <m:e>
            <m:r>
              <m:t>ρ</m:t>
            </m:r>
          </m:e>
          <m:sub>
            <m:r>
              <m:t>S</m:t>
            </m:r>
            <m:r>
              <m:t>S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ρ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unchanged.</w:t>
      </w:r>
      <w:bookmarkEnd w:id="33"/>
    </w:p>
    <w:p>
      <w:pPr>
        <w:pStyle w:val="FirstParagraph"/>
      </w:pPr>
      <w:r>
        <w:t xml:space="preserve">Perhaps too much detail, could make one boxplot per rho instead. Supplement since not focus of paper?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prelim_results_files/figure-docx/unnamed-chunk-7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5" w:name="fig-4.-naa-and-m-devs-in-final-model-naa-m-cpi-random-effects."/>
      <w:r>
        <w:t xml:space="preserve">Fig 4. NAA and M devs in final model (NAA + M + CPI random effects).</w:t>
      </w:r>
      <w:bookmarkEnd w:id="35"/>
    </w:p>
    <w:p>
      <w:pPr>
        <w:pStyle w:val="FirstParagraph"/>
      </w:pPr>
      <w:r>
        <w:t xml:space="preserve">Only showing NAA + M + CPI model with lowest rho (&lt; 0.1 for all three), even though it has higher AIC. Could show all 3 in a multipanel.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prelim_results_files/figure-docx/unnamed-chunk-8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fig-5.-retros-for-ssb-and-f-base-naa-m-naa-m-naa-m-cpi"/>
      <w:r>
        <w:t xml:space="preserve">Fig 5. Retros for SSB and F (base, NAA, M, NAA + M, NAA + M + CPI)</w:t>
      </w:r>
      <w:bookmarkEnd w:id="37"/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prelim_results_files/figure-docx/unnamed-chunk-9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9" w:name="fig-6.-naa-6-panel-base-naa-m-naa-m-naa-m-cpi"/>
      <w:r>
        <w:t xml:space="preserve">Fig 6. NAA 6-panel (base, NAA, M, NAA + M, NAA + M + CPI)</w:t>
      </w:r>
      <w:bookmarkEnd w:id="39"/>
    </w:p>
    <w:p>
      <w:pPr>
        <w:pStyle w:val="FirstParagraph"/>
      </w:pPr>
      <w:r>
        <w:t xml:space="preserve">Open to suggestions on how and what to show:</w:t>
      </w:r>
    </w:p>
    <w:p>
      <w:pPr>
        <w:pStyle w:val="Compact"/>
        <w:numPr>
          <w:numId w:val="1006"/>
          <w:ilvl w:val="0"/>
        </w:numPr>
      </w:pPr>
      <w:r>
        <w:t xml:space="preserve">Which models?</w:t>
      </w:r>
    </w:p>
    <w:p>
      <w:pPr>
        <w:pStyle w:val="Compact"/>
        <w:numPr>
          <w:numId w:val="1006"/>
          <w:ilvl w:val="0"/>
        </w:numPr>
      </w:pPr>
      <w:r>
        <w:t xml:space="preserve">Time period? Currently zoomed in on last 25 years since population is at much lower levels.</w:t>
      </w:r>
    </w:p>
    <w:p>
      <w:pPr>
        <w:pStyle w:val="Compact"/>
        <w:numPr>
          <w:numId w:val="1006"/>
          <w:ilvl w:val="0"/>
        </w:numPr>
      </w:pPr>
      <w:r>
        <w:t xml:space="preserve">Using last F (2018) in 3-year projections. Haikun had F = 0 in projections.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prelim_results_files/figure-docx/unnamed-chunk-10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prelim_results_files/figure-docx/unnamed-chunk-10-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2" w:name="fig-7.-ssb-and-f-base-naa-m-naa-m-naa-m-cpi"/>
      <w:r>
        <w:t xml:space="preserve">Fig 7. SSB and F (base, NAA, M, NAA + M, NAA + M + CPI)</w:t>
      </w:r>
      <w:bookmarkEnd w:id="42"/>
    </w:p>
    <w:p>
      <w:pPr>
        <w:pStyle w:val="FirstParagraph"/>
      </w:pPr>
      <w:r>
        <w:t xml:space="preserve">Point of Figs. 6-7 is to show the impact of model choice on stock status. Could show a Kobe plot instead (or addition).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_prelim_results_files/figure-docx/unnamed-chunk-11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df" /><Relationship Type="http://schemas.openxmlformats.org/officeDocument/2006/relationships/image" Id="rId41" Target="media/rId41.pdf" /><Relationship Type="http://schemas.openxmlformats.org/officeDocument/2006/relationships/image" Id="rId43" Target="media/rId43.pdf" /><Relationship Type="http://schemas.openxmlformats.org/officeDocument/2006/relationships/image" Id="rId30" Target="media/rId30.pdf" /><Relationship Type="http://schemas.openxmlformats.org/officeDocument/2006/relationships/image" Id="rId32" Target="media/rId32.pdf" /><Relationship Type="http://schemas.openxmlformats.org/officeDocument/2006/relationships/image" Id="rId34" Target="media/rId34.pdf" /><Relationship Type="http://schemas.openxmlformats.org/officeDocument/2006/relationships/image" Id="rId36" Target="media/rId36.pdf" /><Relationship Type="http://schemas.openxmlformats.org/officeDocument/2006/relationships/image" Id="rId38" Target="media/rId38.pdf" /><Relationship Type="http://schemas.openxmlformats.org/officeDocument/2006/relationships/hyperlink" Id="rId21" Target="https://www.sciencedirect.com/science/article/pii/S016578362030102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sciencedirect.com/science/article/pii/S01657836203010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AR1 random effects on NAA vs. M (+CPI)</dc:title>
  <dc:creator/>
  <cp:keywords/>
  <dcterms:created xsi:type="dcterms:W3CDTF">2020-07-23T14:42:04Z</dcterms:created>
  <dcterms:modified xsi:type="dcterms:W3CDTF">2020-07-23T14:42:04Z</dcterms:modified>
</cp:coreProperties>
</file>