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Haikun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513F30E3" w14:textId="1CA6A036" w:rsidR="00461CAF" w:rsidRDefault="005A0AC6" w:rsidP="00760FB4">
      <w:pPr>
        <w:pStyle w:val="Chapterheading0"/>
        <w:jc w:val="left"/>
      </w:pPr>
      <w:r>
        <w:t xml:space="preserve">Survival is an important </w:t>
      </w:r>
      <w:r w:rsidR="00D34B2A">
        <w:t xml:space="preserve">population process </w:t>
      </w:r>
      <w:r>
        <w:t xml:space="preserve">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w:t>
      </w:r>
      <w:r w:rsidR="006014D4">
        <w:t>deterministic</w:t>
      </w:r>
      <w:r w:rsidR="005C2A91">
        <w:t xml:space="preserve">. </w:t>
      </w:r>
      <w:r w:rsidR="00D34B2A">
        <w:t>R</w:t>
      </w:r>
      <w:r w:rsidR="005C2A91">
        <w:t>ecently developed state-space assessment model</w:t>
      </w:r>
      <w:r w:rsidR="00D34B2A">
        <w:t>s</w:t>
      </w:r>
      <w:r w:rsidR="00127C87">
        <w:t>,</w:t>
      </w:r>
      <w:r w:rsidR="005C2A91">
        <w:t xml:space="preserve"> </w:t>
      </w:r>
      <w:r w:rsidR="00127C87">
        <w:t>however</w:t>
      </w:r>
      <w:r w:rsidR="005C2A91">
        <w:t xml:space="preserve">, </w:t>
      </w:r>
      <w:r w:rsidR="00026AA4">
        <w:t xml:space="preserve">can estimate </w:t>
      </w:r>
      <w:r w:rsidR="00D34B2A">
        <w:t xml:space="preserve">stochastic </w:t>
      </w:r>
      <w:r w:rsidR="005C2A91">
        <w:t>variation</w:t>
      </w:r>
      <w:r w:rsidR="00D34B2A">
        <w:t>s</w:t>
      </w:r>
      <w:r w:rsidR="005C2A91">
        <w:t xml:space="preserve"> in surviva</w:t>
      </w:r>
      <w:r w:rsidR="00026AA4">
        <w:t>l</w:t>
      </w:r>
      <w:r w:rsidR="0068431C">
        <w:t>. These survival deviations are generally treated as independent by age and year, despite our understanding that many population processes can be autocorrelated and that not accounting for autocorrelation in stock assessments can result in notable bias. Further,</w:t>
      </w:r>
      <w:r w:rsidR="00026AA4">
        <w:t xml:space="preserve"> </w:t>
      </w:r>
      <w:r w:rsidR="0068431C">
        <w:t xml:space="preserve">the survival deviations </w:t>
      </w:r>
      <w:r w:rsidR="00026AA4">
        <w:t xml:space="preserve">represent variability in some </w:t>
      </w:r>
      <w:r w:rsidR="0068431C">
        <w:t xml:space="preserve">ambiguous </w:t>
      </w:r>
      <w:r w:rsidR="00026AA4">
        <w:t>combination of natural mortality</w:t>
      </w:r>
      <w:r w:rsidR="00F9438F">
        <w:t xml:space="preserve"> (</w:t>
      </w:r>
      <w:r w:rsidR="00F9438F" w:rsidRPr="00F9438F">
        <w:rPr>
          <w:i/>
          <w:iCs/>
        </w:rPr>
        <w:t>M</w:t>
      </w:r>
      <w:r w:rsidR="00F9438F">
        <w:t>)</w:t>
      </w:r>
      <w:r w:rsidR="00026AA4">
        <w:t xml:space="preserve">, fishing mortality, and migration. </w:t>
      </w:r>
      <w:r w:rsidR="0068431C">
        <w:t xml:space="preserve">We address these concerns, as well as the strong retrospective pattern found in the last assessment of Southern New England yellowtail flounder </w:t>
      </w:r>
      <w:r w:rsidR="0068431C">
        <w:rPr>
          <w:lang w:eastAsia="zh-CN"/>
        </w:rPr>
        <w:t>(</w:t>
      </w:r>
      <w:r w:rsidR="0068431C" w:rsidRPr="00DB6BFB">
        <w:rPr>
          <w:i/>
          <w:iCs/>
          <w:lang w:eastAsia="zh-CN"/>
        </w:rPr>
        <w:t>Limanda ferruginea</w:t>
      </w:r>
      <w:r w:rsidR="0068431C" w:rsidRPr="00DB6BFB">
        <w:rPr>
          <w:iCs/>
          <w:lang w:eastAsia="zh-CN"/>
        </w:rPr>
        <w:t>)</w:t>
      </w:r>
      <w:r w:rsidR="0068431C">
        <w:rPr>
          <w:iCs/>
          <w:lang w:eastAsia="zh-CN"/>
        </w:rPr>
        <w:t xml:space="preserve">, by </w:t>
      </w:r>
      <w:r w:rsidR="00815C30">
        <w:t>incorporating</w:t>
      </w:r>
      <w:r w:rsidR="0068431C">
        <w:t xml:space="preserve"> two-dimensional (</w:t>
      </w:r>
      <w:r w:rsidR="00815C30">
        <w:t xml:space="preserve">2D, </w:t>
      </w:r>
      <w:r w:rsidR="0068431C">
        <w:t xml:space="preserve">age and year) </w:t>
      </w:r>
      <w:r w:rsidR="00815C30">
        <w:t xml:space="preserve">first-order </w:t>
      </w:r>
      <w:r w:rsidR="0068431C">
        <w:t xml:space="preserve">autocorrelation in survival and </w:t>
      </w:r>
      <w:r w:rsidR="00F9438F" w:rsidRPr="00F9438F">
        <w:rPr>
          <w:i/>
          <w:iCs/>
        </w:rPr>
        <w:t>M</w:t>
      </w:r>
      <w:r w:rsidR="00815C30">
        <w:t xml:space="preserve">. </w:t>
      </w:r>
      <w:r w:rsidR="00FC3695">
        <w:t xml:space="preserve">We found that </w:t>
      </w:r>
      <w:r w:rsidR="0066523F">
        <w:t>deviations</w:t>
      </w:r>
      <w:r w:rsidR="002C4BF4">
        <w:t xml:space="preserve"> </w:t>
      </w:r>
      <w:r w:rsidR="00FC3695">
        <w:t>w</w:t>
      </w:r>
      <w:r w:rsidR="002C4BF4">
        <w:t>ere</w:t>
      </w:r>
      <w:r w:rsidR="00FC3695">
        <w:t xml:space="preserve"> autocorrelated among </w:t>
      </w:r>
      <w:r w:rsidR="00A41F2A">
        <w:t xml:space="preserve">both </w:t>
      </w:r>
      <w:r w:rsidR="00815C30">
        <w:t>years</w:t>
      </w:r>
      <w:r w:rsidR="002C4BF4">
        <w:t xml:space="preserve"> </w:t>
      </w:r>
      <w:r w:rsidR="001E0D06">
        <w:t>(</w:t>
      </w:r>
      <w:r w:rsidR="002C4BF4">
        <w:t>0.5</w:t>
      </w:r>
      <w:r w:rsidR="00815C30">
        <w:t xml:space="preserve">2 </w:t>
      </w:r>
      <m:oMath>
        <m:r>
          <w:rPr>
            <w:rFonts w:ascii="Cambria Math" w:hAnsi="Cambria Math"/>
          </w:rPr>
          <m:t>±</m:t>
        </m:r>
      </m:oMath>
      <w:r w:rsidR="00815C30">
        <w:t xml:space="preserve"> </w:t>
      </w:r>
      <w:r w:rsidR="002C4BF4">
        <w:rPr>
          <w:lang w:eastAsia="zh-CN"/>
        </w:rPr>
        <w:t>0.10</w:t>
      </w:r>
      <w:r w:rsidR="00815C30">
        <w:rPr>
          <w:lang w:eastAsia="zh-CN"/>
        </w:rPr>
        <w:t xml:space="preserve">, </w:t>
      </w:r>
      <w:r w:rsidR="00815C30" w:rsidRPr="00815C30">
        <w:rPr>
          <w:lang w:eastAsia="zh-CN"/>
        </w:rPr>
        <w:t xml:space="preserve">0.47 </w:t>
      </w:r>
      <m:oMath>
        <m:r>
          <w:rPr>
            <w:rFonts w:ascii="Cambria Math" w:hAnsi="Cambria Math"/>
          </w:rPr>
          <m:t>±</m:t>
        </m:r>
      </m:oMath>
      <w:r w:rsidR="00815C30">
        <w:t xml:space="preserve"> </w:t>
      </w:r>
      <w:r w:rsidR="00815C30" w:rsidRPr="00815C30">
        <w:rPr>
          <w:lang w:eastAsia="zh-CN"/>
        </w:rPr>
        <w:t>0.21</w:t>
      </w:r>
      <w:r w:rsidR="00815C30">
        <w:rPr>
          <w:lang w:eastAsia="zh-CN"/>
        </w:rPr>
        <w:t>)</w:t>
      </w:r>
      <w:r w:rsidR="001E0D06">
        <w:t xml:space="preserve"> </w:t>
      </w:r>
      <w:r w:rsidR="00A41F2A">
        <w:t>and</w:t>
      </w:r>
      <w:r w:rsidR="00815C30">
        <w:t xml:space="preserve"> ages</w:t>
      </w:r>
      <w:r w:rsidR="002C4BF4">
        <w:t xml:space="preserve"> (0.3</w:t>
      </w:r>
      <w:r w:rsidR="00815C30">
        <w:t xml:space="preserve">4 </w:t>
      </w:r>
      <m:oMath>
        <m:r>
          <w:rPr>
            <w:rFonts w:ascii="Cambria Math" w:hAnsi="Cambria Math"/>
          </w:rPr>
          <m:t>±</m:t>
        </m:r>
      </m:oMath>
      <w:r w:rsidR="00815C30">
        <w:t xml:space="preserve"> </w:t>
      </w:r>
      <w:r w:rsidR="002C4BF4">
        <w:rPr>
          <w:lang w:eastAsia="zh-CN"/>
        </w:rPr>
        <w:t>0.12</w:t>
      </w:r>
      <w:r w:rsidR="00815C30">
        <w:rPr>
          <w:lang w:eastAsia="zh-CN"/>
        </w:rPr>
        <w:t xml:space="preserve">, </w:t>
      </w:r>
      <w:r w:rsidR="00815C30" w:rsidRPr="00815C30">
        <w:rPr>
          <w:lang w:eastAsia="zh-CN"/>
        </w:rPr>
        <w:t xml:space="preserve">0.39 </w:t>
      </w:r>
      <m:oMath>
        <m:r>
          <w:rPr>
            <w:rFonts w:ascii="Cambria Math" w:hAnsi="Cambria Math"/>
          </w:rPr>
          <m:t>±</m:t>
        </m:r>
      </m:oMath>
      <w:r w:rsidR="00815C30">
        <w:t xml:space="preserve"> </w:t>
      </w:r>
      <w:r w:rsidR="00815C30" w:rsidRPr="00815C30">
        <w:rPr>
          <w:lang w:eastAsia="zh-CN"/>
        </w:rPr>
        <w:t>0.14)</w:t>
      </w:r>
      <w:r w:rsidR="00815C30">
        <w:rPr>
          <w:lang w:eastAsia="zh-CN"/>
        </w:rPr>
        <w:t xml:space="preserve"> when estimated for survival or </w:t>
      </w:r>
      <w:r w:rsidR="00F9438F" w:rsidRPr="00F9438F">
        <w:rPr>
          <w:i/>
          <w:iCs/>
        </w:rPr>
        <w:t>M</w:t>
      </w:r>
      <w:r w:rsidR="00815C30">
        <w:rPr>
          <w:lang w:eastAsia="zh-CN"/>
        </w:rPr>
        <w:t>, respectively</w:t>
      </w:r>
      <w:r w:rsidR="002C4BF4">
        <w:rPr>
          <w:lang w:eastAsia="zh-CN"/>
        </w:rPr>
        <w:t xml:space="preserve">. </w:t>
      </w:r>
      <w:r w:rsidR="00815C30">
        <w:rPr>
          <w:lang w:eastAsia="zh-CN"/>
        </w:rPr>
        <w:t xml:space="preserve">Models with the 2D AR(1) </w:t>
      </w:r>
      <w:r w:rsidR="00F9438F">
        <w:rPr>
          <w:lang w:eastAsia="zh-CN"/>
        </w:rPr>
        <w:t>smoother</w:t>
      </w:r>
      <w:r w:rsidR="00815C30">
        <w:rPr>
          <w:lang w:eastAsia="zh-CN"/>
        </w:rPr>
        <w:t xml:space="preserve"> on survival </w:t>
      </w:r>
      <w:r w:rsidR="00F9438F">
        <w:rPr>
          <w:lang w:eastAsia="zh-CN"/>
        </w:rPr>
        <w:t xml:space="preserve">or </w:t>
      </w:r>
      <w:r w:rsidR="00F9438F" w:rsidRPr="00F9438F">
        <w:rPr>
          <w:i/>
          <w:iCs/>
        </w:rPr>
        <w:t>M</w:t>
      </w:r>
      <w:r w:rsidR="00F9438F">
        <w:rPr>
          <w:lang w:eastAsia="zh-CN"/>
        </w:rPr>
        <w:t xml:space="preserve"> fitted the data better </w:t>
      </w:r>
      <w:r w:rsidR="00760FB4">
        <w:rPr>
          <w:lang w:eastAsia="zh-CN"/>
        </w:rPr>
        <w:t xml:space="preserve">and reduced the retrospective pattern (lower AIC and Mohn’s </w:t>
      </w:r>
      <m:oMath>
        <m:r>
          <w:rPr>
            <w:rFonts w:ascii="Cambria Math" w:hAnsi="Cambria Math"/>
            <w:lang w:eastAsia="zh-CN"/>
          </w:rPr>
          <m:t>ρ</m:t>
        </m:r>
      </m:oMath>
      <w:r w:rsidR="00760FB4">
        <w:rPr>
          <w:lang w:eastAsia="zh-CN"/>
        </w:rPr>
        <w:t>)</w:t>
      </w:r>
      <w:r w:rsidR="00F9438F">
        <w:rPr>
          <w:lang w:eastAsia="zh-CN"/>
        </w:rPr>
        <w:t>. T</w:t>
      </w:r>
      <w:r w:rsidR="00815C30">
        <w:rPr>
          <w:lang w:eastAsia="zh-CN"/>
        </w:rPr>
        <w:t xml:space="preserve">he </w:t>
      </w:r>
      <w:r w:rsidR="00F9438F">
        <w:rPr>
          <w:lang w:eastAsia="zh-CN"/>
        </w:rPr>
        <w:t xml:space="preserve">best </w:t>
      </w:r>
      <w:r w:rsidR="00815C30">
        <w:rPr>
          <w:lang w:eastAsia="zh-CN"/>
        </w:rPr>
        <w:t xml:space="preserve">retrospective pattern was achieved by </w:t>
      </w:r>
      <w:r w:rsidR="00F9438F">
        <w:rPr>
          <w:lang w:eastAsia="zh-CN"/>
        </w:rPr>
        <w:t xml:space="preserve">simultaneously </w:t>
      </w:r>
      <w:r w:rsidR="00815C30">
        <w:rPr>
          <w:lang w:eastAsia="zh-CN"/>
        </w:rPr>
        <w:t>including</w:t>
      </w:r>
      <w:r w:rsidR="00F9438F">
        <w:rPr>
          <w:lang w:eastAsia="zh-CN"/>
        </w:rPr>
        <w:t xml:space="preserve"> 2D AR(1) </w:t>
      </w:r>
      <w:r w:rsidR="00F9438F" w:rsidRPr="00F9438F">
        <w:rPr>
          <w:i/>
          <w:iCs/>
        </w:rPr>
        <w:t>M</w:t>
      </w:r>
      <w:r w:rsidR="00F9438F">
        <w:rPr>
          <w:lang w:eastAsia="zh-CN"/>
        </w:rPr>
        <w:t xml:space="preserve"> deviations and </w:t>
      </w:r>
      <w:r w:rsidR="00815C30">
        <w:rPr>
          <w:lang w:eastAsia="zh-CN"/>
        </w:rPr>
        <w:t xml:space="preserve">independent </w:t>
      </w:r>
      <w:r w:rsidR="00F9438F">
        <w:rPr>
          <w:lang w:eastAsia="zh-CN"/>
        </w:rPr>
        <w:t xml:space="preserve">survival deviations. Including an environmental effect on recruitment further improved the retrospective pattern but to a lesser degree. </w:t>
      </w:r>
      <w:r w:rsidR="00760FB4">
        <w:rPr>
          <w:lang w:eastAsia="zh-CN"/>
        </w:rPr>
        <w:t>Lastly</w:t>
      </w:r>
      <w:r w:rsidR="00F9438F">
        <w:rPr>
          <w:lang w:eastAsia="zh-CN"/>
        </w:rPr>
        <w:t xml:space="preserve">, </w:t>
      </w:r>
      <w:r w:rsidR="00D8012E">
        <w:t>the</w:t>
      </w:r>
      <w:r w:rsidR="007F62AA">
        <w:t xml:space="preserve"> </w:t>
      </w:r>
      <w:r w:rsidR="00F9438F">
        <w:t xml:space="preserve">2D AR(1) smoother </w:t>
      </w:r>
      <w:r w:rsidR="00A41F2A">
        <w:t>altered</w:t>
      </w:r>
      <w:r w:rsidR="00EC722C">
        <w:t xml:space="preserve"> estimates of spawning </w:t>
      </w:r>
      <w:r w:rsidR="00760FB4">
        <w:t xml:space="preserve">stock </w:t>
      </w:r>
      <w:r w:rsidR="00EC722C">
        <w:t>biomass</w:t>
      </w:r>
      <w:r w:rsidR="00760FB4">
        <w:t xml:space="preserve"> (SSB)</w:t>
      </w:r>
      <w:r w:rsidR="00A41F2A">
        <w:t xml:space="preserve"> and fishing mortality</w:t>
      </w:r>
      <w:r w:rsidR="00A721A7">
        <w:t xml:space="preserve"> </w:t>
      </w:r>
      <w:r w:rsidR="007F62AA">
        <w:t xml:space="preserve">by </w:t>
      </w:r>
      <w:r w:rsidR="00F9438F">
        <w:t xml:space="preserve">around 15% in model years and 30% in short-term projection years. We conclude that </w:t>
      </w:r>
      <w:r w:rsidR="00760FB4">
        <w:t xml:space="preserve">incorporating 2D autocorrelated variation in survival, </w:t>
      </w:r>
      <w:r w:rsidR="00760FB4" w:rsidRPr="00760FB4">
        <w:rPr>
          <w:i/>
          <w:iCs/>
        </w:rPr>
        <w:t>M</w:t>
      </w:r>
      <w:r w:rsidR="00760FB4">
        <w:rPr>
          <w:lang w:eastAsia="zh-CN"/>
        </w:rPr>
        <w:t xml:space="preserve">, or both could improve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model fit</w:t>
      </w:r>
      <w:r w:rsidR="00AD1C17">
        <w:rPr>
          <w:lang w:eastAsia="zh-CN"/>
        </w:rPr>
        <w:t xml:space="preserve"> and </w:t>
      </w:r>
      <w:r w:rsidR="003B3D56">
        <w:rPr>
          <w:lang w:eastAsia="zh-CN"/>
        </w:rPr>
        <w:t>reliab</w:t>
      </w:r>
      <w:r w:rsidR="00760FB4">
        <w:rPr>
          <w:lang w:eastAsia="zh-CN"/>
        </w:rPr>
        <w:t>le prediction of</w:t>
      </w:r>
      <w:r w:rsidR="003B3D56">
        <w:rPr>
          <w:lang w:eastAsia="zh-CN"/>
        </w:rPr>
        <w:t xml:space="preserve"> SSB</w:t>
      </w:r>
      <w:r w:rsidR="00760FB4">
        <w:rPr>
          <w:lang w:eastAsia="zh-CN"/>
        </w:rPr>
        <w:t>.</w:t>
      </w:r>
    </w:p>
    <w:p w14:paraId="19ACFD8B" w14:textId="1C9BE3F9"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760FB4">
        <w:t xml:space="preserve">natural mortality; </w:t>
      </w:r>
      <w:bookmarkStart w:id="3" w:name="_GoBack"/>
      <w:bookmarkEnd w:id="3"/>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4" w:name="OLE_LINK10"/>
      <w:bookmarkStart w:id="5"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4"/>
      <w:bookmarkEnd w:id="5"/>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However, Cadigan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r w:rsidR="00DB6BFB" w:rsidRPr="00DB6BFB">
        <w:rPr>
          <w:i/>
          <w:iCs/>
          <w:lang w:eastAsia="zh-CN"/>
        </w:rPr>
        <w:t>Limanda ferruginea</w:t>
      </w:r>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r w:rsidR="002A2F48">
        <w:rPr>
          <w:lang w:eastAsia="zh-CN"/>
        </w:rPr>
        <w:t>fully-selected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this 2D AR(1)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(Nielsen and Berg 2014; Miller et al. 2016; Aeberhard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 xml:space="preserve">deviations in survival (Gudmundsson and Gunnlaugsson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(Cadigan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r w:rsidR="009A4015">
        <w:t xml:space="preserve">Mohn’s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6"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AR(1)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6"/>
    </w:p>
    <w:p w14:paraId="7EA26BB8" w14:textId="29589964" w:rsidR="00F5594A" w:rsidRPr="00004AB7" w:rsidRDefault="00BC621B" w:rsidP="001829AC">
      <w:pPr>
        <w:pStyle w:val="Heading2"/>
      </w:pPr>
      <w:r>
        <w:t>2.1.  2</w:t>
      </w:r>
      <w:r w:rsidR="00784661" w:rsidRPr="00004AB7">
        <w:t xml:space="preserve">D AR(1)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7" w:name="OLE_LINK9"/>
                      <w:bookmarkStart w:id="8"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7"/>
                      <w:bookmarkEnd w:id="8"/>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2CBA329F"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w:t>
      </w:r>
      <w:r w:rsidR="008977B5">
        <w:t>-</w:t>
      </w:r>
      <w:r w:rsidR="00626AA7">
        <w:t xml:space="preserve">group.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r w:rsidR="00FE2CEE">
        <w:t xml:space="preserve">Cadigan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D34B2A"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9" w:name="OLE_LINK36"/>
      <w:bookmarkStart w:id="10" w:name="OLE_LINK37"/>
      <m:oMath>
        <m:r>
          <m:rPr>
            <m:sty m:val="b"/>
          </m:rPr>
          <w:rPr>
            <w:rFonts w:ascii="Cambria Math" w:hAnsi="Cambria Math"/>
          </w:rPr>
          <m:t>Ε=</m:t>
        </m:r>
        <w:bookmarkStart w:id="11" w:name="OLE_LINK34"/>
        <w:bookmarkStart w:id="12"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9"/>
      <w:bookmarkEnd w:id="10"/>
      <w:bookmarkEnd w:id="11"/>
      <w:bookmarkEnd w:id="12"/>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3" w:name="OLE_LINK14"/>
      <w:bookmarkStart w:id="14" w:name="OLE_LINK15"/>
      <w:bookmarkStart w:id="15" w:name="OLE_LINK17"/>
      <w:bookmarkStart w:id="16" w:name="OLE_LINK18"/>
      <m:oMath>
        <m:r>
          <w:rPr>
            <w:rFonts w:ascii="Cambria Math" w:hAnsi="Cambria Math"/>
            <w:noProof/>
          </w:rPr>
          <m:t>A</m:t>
        </m:r>
        <w:bookmarkEnd w:id="13"/>
        <w:bookmarkEnd w:id="14"/>
        <m:r>
          <w:rPr>
            <w:rFonts w:ascii="Cambria Math" w:hAnsi="Cambria Math"/>
            <w:noProof/>
          </w:rPr>
          <m:t>(Y-1)×A(Y-1)</m:t>
        </m:r>
      </m:oMath>
      <w:bookmarkEnd w:id="15"/>
      <w:bookmarkEnd w:id="16"/>
      <w:r w:rsidR="00CD0120">
        <w:t xml:space="preserve"> </w:t>
      </w:r>
      <w:r w:rsidRPr="009A4919">
        <w:t>covariance matrix for the multivariate normal distribution</w:t>
      </w:r>
      <w:r w:rsidR="000E00F5">
        <w:t xml:space="preserve"> and is</w:t>
      </w:r>
      <w:r w:rsidRPr="009A4919">
        <w:t xml:space="preserve"> calculated as the </w:t>
      </w:r>
      <w:bookmarkStart w:id="17" w:name="OLE_LINK47"/>
      <w:r w:rsidRPr="009A4919">
        <w:t>Kronecker produc</w:t>
      </w:r>
      <w:bookmarkEnd w:id="17"/>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D34B2A"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D34B2A"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D34B2A"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r w:rsidR="00A316F7">
        <w:t>AR(1)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and</w:t>
      </w:r>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8" w:name="OLE_LINK38"/>
      <w:bookmarkStart w:id="19"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8"/>
          <w:bookmarkEnd w:id="19"/>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AR(1)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as in Cadigan (2016):</w:t>
      </w:r>
    </w:p>
    <w:p w14:paraId="236F0108" w14:textId="6ECE7BDC" w:rsidR="00A460A6" w:rsidRPr="00A460A6" w:rsidRDefault="00D34B2A"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m:oMath>
        <m:r>
          <m:rPr>
            <m:nor/>
          </m:rP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estimated.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20" w:name="OLE_LINK23"/>
      <w:bookmarkStart w:id="21" w:name="OLE_LINK24"/>
      <w:r>
        <w:t>2.2</w:t>
      </w:r>
      <w:r w:rsidR="00BC621B">
        <w:t>.</w:t>
      </w:r>
      <w:r>
        <w:t xml:space="preserve">  </w:t>
      </w:r>
      <w:r w:rsidR="00F5594A">
        <w:t xml:space="preserve">Application to </w:t>
      </w:r>
      <w:r w:rsidR="006E6A00">
        <w:t>SNEMA</w:t>
      </w:r>
      <w:r w:rsidR="00F5594A">
        <w:t xml:space="preserve"> yellowtail flounder</w:t>
      </w:r>
      <w:bookmarkEnd w:id="20"/>
      <w:bookmarkEnd w:id="21"/>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r>
        <w:t xml:space="preserve">AR(1)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2" w:name="OLE_LINK3"/>
      <w:bookmarkStart w:id="23"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Selectivity of the fleet was divided into six time blocks as in NEFSC (2020). We estimated logistic selectivity for the fleet and indices, except in three time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AR(1) for the CPI. </w:t>
      </w:r>
      <w:r w:rsidR="005A79A5">
        <w:rPr>
          <w:lang w:eastAsia="zh-CN"/>
        </w:rPr>
        <w:t>All</w:t>
      </w:r>
      <w:r w:rsidR="008C32D4">
        <w:rPr>
          <w:lang w:eastAsia="zh-CN"/>
        </w:rPr>
        <w:t xml:space="preserve"> the aforementioned data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359E8419"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s most similar to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AR(1) smoother on survival, we compared the model fit, retrospective pattern, and relative difference in SSB and </w:t>
      </w:r>
      <w:r w:rsidR="006919C1" w:rsidRPr="006919C1">
        <w:rPr>
          <w:i/>
          <w:iCs/>
        </w:rPr>
        <w:t>F</w:t>
      </w:r>
      <w:r w:rsidR="006919C1">
        <w:t xml:space="preserve"> </w:t>
      </w:r>
      <w:r w:rsidR="00B653A8">
        <w:t>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AR(1) </w:t>
      </w:r>
      <w:r w:rsidR="00862F13">
        <w:t>auto</w:t>
      </w:r>
      <w:r w:rsidR="008A5784">
        <w:t>correlation structures for each.</w:t>
      </w:r>
    </w:p>
    <w:bookmarkEnd w:id="22"/>
    <w:bookmarkEnd w:id="23"/>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Mohn’s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We calculated the CPI as in Miller et al. (2016) and incorporated it into the Beverton-Holt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Mohn’s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4" w:name="_Toc465598052"/>
    </w:p>
    <w:p w14:paraId="0DF6E30E" w14:textId="6B289044" w:rsidR="00BC621B" w:rsidRPr="00BC621B" w:rsidRDefault="002767EC" w:rsidP="001829AC">
      <w:pPr>
        <w:pStyle w:val="Heading1"/>
        <w:numPr>
          <w:ilvl w:val="0"/>
          <w:numId w:val="15"/>
        </w:numPr>
      </w:pPr>
      <w:r w:rsidRPr="009A4919">
        <w:t>Results</w:t>
      </w:r>
      <w:bookmarkEnd w:id="24"/>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1933DC54" w:rsidR="00862F13" w:rsidRDefault="002C67A3" w:rsidP="000C5E25">
      <w:pPr>
        <w:pStyle w:val="Chapterheading0"/>
        <w:spacing w:after="0"/>
        <w:jc w:val="left"/>
      </w:pPr>
      <w:r>
        <w:t xml:space="preserve">Treating numbers at all ages as random effects resulted in markedly better model fit (lower AIC) and reduced retrospective pattern (lower Mohn’s </w:t>
      </w:r>
      <m:oMath>
        <m:r>
          <w:rPr>
            <w:rFonts w:ascii="Cambria Math" w:hAnsi="Cambria Math"/>
          </w:rPr>
          <m:t>ρ</m:t>
        </m:r>
      </m:oMath>
      <w:r>
        <w:t xml:space="preserve">; Table 3). </w:t>
      </w:r>
      <w:r w:rsidR="00B40538">
        <w:t xml:space="preserve">Estimating survival deviations with autocorrelation by age, year, or both further reduced AIC and Mohn’s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AR(1) structure </w:t>
      </w:r>
      <w:r w:rsidR="00466F92">
        <w:lastRenderedPageBreak/>
        <w:t xml:space="preserve">reduced estimates of </w:t>
      </w:r>
      <w:r w:rsidR="006919C1" w:rsidRPr="006919C1">
        <w:rPr>
          <w:i/>
          <w:iCs/>
        </w:rPr>
        <w:t>F</w:t>
      </w:r>
      <w:r w:rsidR="006919C1">
        <w:t xml:space="preserve"> </w:t>
      </w:r>
      <w:r w:rsidR="00466F92">
        <w:t xml:space="preserve">and increased estimates of SSB by about 15% (relative difference between NAA-6 and NAA-3; Fig. 2). </w:t>
      </w:r>
      <w:r w:rsidR="00762789">
        <w:t xml:space="preserve">NAA-3 and NAA-6 estimated similar SSB in the terminal year of the assessment, 2018, but then differed in their SSB estimates in the projection years by about 30%, even though </w:t>
      </w:r>
      <w:r w:rsidR="006919C1" w:rsidRPr="006919C1">
        <w:rPr>
          <w:i/>
          <w:iCs/>
        </w:rPr>
        <w:t>F</w:t>
      </w:r>
      <w:r w:rsidR="006919C1">
        <w:t xml:space="preserve"> </w:t>
      </w:r>
      <w:r w:rsidR="00762789">
        <w:t>was held constant at similar values (Fig. 2).</w:t>
      </w:r>
    </w:p>
    <w:p w14:paraId="426B4293" w14:textId="2E98EAF0"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this propagated through the end of the assessment and into the projection years for models that included autocorrelation by year (Fig.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The combined effect of the survival deviations across ages resulted in the model with 2D AR(1) autocorrelation projecting lower SSB in 2019</w:t>
      </w:r>
      <w:r w:rsidR="004E2F49">
        <w:t xml:space="preserve">, but higher SSB in 2020-2021, </w:t>
      </w:r>
      <w:r w:rsidR="008E5BB2">
        <w:t>than the model with independent deviations (Fig. 2</w:t>
      </w:r>
      <w:r w:rsidR="004E2F49">
        <w:t xml:space="preserve">). </w:t>
      </w:r>
      <w:r w:rsidR="000C5E25">
        <w:t>Note that 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5" w:name="OLE_LINK7"/>
      <w:bookmarkStart w:id="26" w:name="OLE_LINK8"/>
      <w:r w:rsidR="000C5E25" w:rsidRPr="009A4919">
        <w:t>a</w:t>
      </w:r>
      <w:hyperlink r:id="rId8" w:history="1">
        <w:r w:rsidR="000C5E25" w:rsidRPr="009A4919">
          <w:t>symptot</w:t>
        </w:r>
      </w:hyperlink>
      <w:r w:rsidR="000C5E25" w:rsidRPr="009A4919">
        <w:t>ically</w:t>
      </w:r>
      <w:bookmarkEnd w:id="25"/>
      <w:bookmarkEnd w:id="26"/>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so the </w:t>
      </w:r>
      <w:r w:rsidR="000C5E25">
        <w:t>direct influence of the survival smoother on SSB predictions</w:t>
      </w:r>
      <w:r w:rsidR="000C5E25" w:rsidRPr="009A4919">
        <w:t xml:space="preserve"> </w:t>
      </w:r>
      <w:r w:rsidR="004E2F49">
        <w:t>be</w:t>
      </w:r>
      <w:r w:rsidR="00BB5F1E">
        <w:t>came</w:t>
      </w:r>
      <w:r w:rsidR="000C5E25">
        <w:rPr>
          <w:noProof/>
        </w:rPr>
        <w:t xml:space="preserve"> </w:t>
      </w:r>
      <w:r w:rsidR="000C5E25" w:rsidRPr="006B291C">
        <w:rPr>
          <w:noProof/>
        </w:rPr>
        <w:t>increasingly weak</w:t>
      </w:r>
      <w:r w:rsidR="000C5E25">
        <w:rPr>
          <w:noProof/>
        </w:rPr>
        <w:t>er</w:t>
      </w:r>
      <w:r w:rsidR="000C5E25">
        <w:t xml:space="preserve"> over time</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48265AE2"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whether or not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the 2D AR(1)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w:t>
      </w:r>
      <w:r w:rsidR="006919C1">
        <w:rPr>
          <w:i/>
          <w:iCs/>
        </w:rPr>
        <w:t>M</w:t>
      </w:r>
      <w:r w:rsidR="006919C1">
        <w:t xml:space="preserve"> </w:t>
      </w:r>
      <w:r w:rsidR="00063E67">
        <w:t xml:space="preserve">deviations, including the the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w:t>
      </w:r>
      <w:r w:rsidR="00063E67">
        <w:lastRenderedPageBreak/>
        <w:t>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evidenced by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w:t>
      </w:r>
      <w:r w:rsidR="006919C1" w:rsidRPr="006919C1">
        <w:rPr>
          <w:i/>
          <w:iCs/>
        </w:rPr>
        <w:t>F</w:t>
      </w:r>
      <w:r w:rsidR="006919C1">
        <w:t xml:space="preserve"> </w:t>
      </w:r>
      <w:r w:rsidR="00762789">
        <w:t xml:space="preserve">and SSB was similar as for the NAA models: lower </w:t>
      </w:r>
      <w:r w:rsidR="006919C1" w:rsidRPr="006919C1">
        <w:rPr>
          <w:i/>
          <w:iCs/>
        </w:rPr>
        <w:t>F</w:t>
      </w:r>
      <w:r w:rsidR="00762789">
        <w:t xml:space="preserve">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AR(1) structure on </w:t>
      </w:r>
      <w:r w:rsidR="00D401DC" w:rsidRPr="00D401DC">
        <w:rPr>
          <w:i/>
          <w:iCs/>
        </w:rPr>
        <w:t>M</w:t>
      </w:r>
      <w:r w:rsidR="00D401DC">
        <w:t xml:space="preserve"> deviations resulted in larger differences in </w:t>
      </w:r>
      <w:r w:rsidR="006919C1" w:rsidRPr="006919C1">
        <w:rPr>
          <w:i/>
          <w:iCs/>
        </w:rPr>
        <w:t>F</w:t>
      </w:r>
      <w:r w:rsidR="006919C1">
        <w:t xml:space="preserve"> </w:t>
      </w:r>
      <w:r w:rsidR="00D401DC">
        <w:t>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AR(1) autocorrelation were positive in the terminal year (Fig. 3). This </w:t>
      </w:r>
      <w:r w:rsidR="00BB5F1E">
        <w:t>wa</w:t>
      </w:r>
      <w:r w:rsidR="00FC6562">
        <w:t>s consistent with the NAA 2D AR(1) models estimating negative survival in this period (Fig. 1), and explain</w:t>
      </w:r>
      <w:r w:rsidR="00BB5F1E">
        <w:t>ed</w:t>
      </w:r>
      <w:r w:rsidR="00FC6562">
        <w:t xml:space="preserve"> why adding 2D AR(1) autocorrelation 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60A51020"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AR(1)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Mohn’s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Mohn’s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w:t>
      </w:r>
      <w:r w:rsidR="004C2A77">
        <w:rPr>
          <w:lang w:eastAsia="zh-CN"/>
        </w:rPr>
        <w:t>had the largest</w:t>
      </w:r>
      <w:r w:rsidR="00397477">
        <w:rPr>
          <w:lang w:eastAsia="zh-CN"/>
        </w:rPr>
        <w:t xml:space="preserve"> </w:t>
      </w:r>
      <w:r w:rsidR="00397477">
        <w:rPr>
          <w:lang w:eastAsia="zh-CN"/>
        </w:rPr>
        <w:lastRenderedPageBreak/>
        <w:t xml:space="preserve">impact on </w:t>
      </w:r>
      <w:r w:rsidR="006919C1" w:rsidRPr="006919C1">
        <w:rPr>
          <w:i/>
          <w:iCs/>
        </w:rPr>
        <w:t>F</w:t>
      </w:r>
      <w:r w:rsidR="00397477">
        <w:rPr>
          <w:lang w:eastAsia="zh-CN"/>
        </w:rPr>
        <w:t xml:space="preserve"> </w:t>
      </w:r>
      <w:r w:rsidR="004C2A77">
        <w:rPr>
          <w:lang w:eastAsia="zh-CN"/>
        </w:rPr>
        <w:t>and</w:t>
      </w:r>
      <w:r w:rsidR="00397477">
        <w:rPr>
          <w:lang w:eastAsia="zh-CN"/>
        </w:rPr>
        <w:t xml:space="preserve"> SSB estimates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r w:rsidR="004C2A77">
        <w:rPr>
          <w:lang w:eastAsia="zh-CN"/>
        </w:rPr>
        <w:t xml:space="preserve"> 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(M-5 in Fig. 3; top panel in Fig. 4). The result was</w:t>
      </w:r>
      <w:r w:rsidR="00682973">
        <w:rPr>
          <w:lang w:eastAsia="zh-CN"/>
        </w:rPr>
        <w:t xml:space="preserve"> a more pronounced decline in projected SSB (Fig.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04D0F5D4"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which converged (Tables 5-6).</w:t>
      </w:r>
      <w:r w:rsidR="00DD5593" w:rsidRPr="0025627F">
        <w:t xml:space="preserve"> </w:t>
      </w:r>
      <w:r w:rsidR="00561F49">
        <w:t xml:space="preserve">Across models with different random effects on survival and </w:t>
      </w:r>
      <w:r w:rsidR="00561F49" w:rsidRPr="003A2643">
        <w:rPr>
          <w:i/>
          <w:iCs/>
        </w:rPr>
        <w:t>M</w:t>
      </w:r>
      <w:r w:rsidR="00561F49">
        <w:t>, including a CPI effect on recruitment reduced Mohn’s</w:t>
      </w:r>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r w:rsidR="00561F49">
        <w:rPr>
          <w:lang w:eastAsia="zh-CN"/>
        </w:rPr>
        <w:t xml:space="preserve">Mohn’s </w:t>
      </w:r>
      <m:oMath>
        <m:r>
          <w:rPr>
            <w:rFonts w:ascii="Cambria Math" w:hAnsi="Cambria Math"/>
            <w:lang w:eastAsia="zh-CN"/>
          </w:rPr>
          <m:t>ρ</m:t>
        </m:r>
      </m:oMath>
      <w:r w:rsidR="00561F49">
        <w:t xml:space="preserve"> had the lowest </w:t>
      </w:r>
      <w:r w:rsidR="00561F49">
        <w:rPr>
          <w:lang w:eastAsia="zh-CN"/>
        </w:rPr>
        <w:t xml:space="preserve">Mohn’s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were already included (Fig. 7).</w:t>
      </w:r>
    </w:p>
    <w:p w14:paraId="37BA3DB9" w14:textId="77777777" w:rsidR="0019695A" w:rsidRPr="009A4919" w:rsidRDefault="002767EC" w:rsidP="001829AC">
      <w:pPr>
        <w:pStyle w:val="Heading1"/>
        <w:numPr>
          <w:ilvl w:val="0"/>
          <w:numId w:val="15"/>
        </w:numPr>
      </w:pPr>
      <w:bookmarkStart w:id="27" w:name="_Toc465598053"/>
      <w:r w:rsidRPr="004074B0">
        <w:t>Discussion</w:t>
      </w:r>
      <w:bookmarkEnd w:id="27"/>
    </w:p>
    <w:p w14:paraId="2E295D35" w14:textId="5ABB5727"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AR</w:t>
      </w:r>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 xml:space="preserve">In WHAM, </w:t>
      </w:r>
      <w:r w:rsidR="00A02FEC">
        <w:lastRenderedPageBreak/>
        <w:t>b</w:t>
      </w:r>
      <w:r w:rsidR="003C2776">
        <w:t xml:space="preserve">oth </w:t>
      </w:r>
      <w:r w:rsidR="00A7735F">
        <w:t xml:space="preserve">the two </w:t>
      </w:r>
      <w:r w:rsidR="00A02FEC">
        <w:t>autocorrelation</w:t>
      </w:r>
      <w:r w:rsidR="00A7735F">
        <w:t xml:space="preserve"> coefficients </w:t>
      </w:r>
      <w:r w:rsidR="00A02FEC">
        <w:t xml:space="preserve">in the 2D AR(1)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AR(1) correlation.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AR(1)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 xml:space="preserve">the variation in adult survival is </w:t>
      </w:r>
      <w:r w:rsidR="00BB1244">
        <w:t xml:space="preserve">at least </w:t>
      </w:r>
      <w:r w:rsidR="00172EDA">
        <w:t xml:space="preserve">as </w:t>
      </w:r>
      <w:r w:rsidR="00941E66">
        <w:t>influential</w:t>
      </w:r>
      <w:r w:rsidR="00172EDA">
        <w:t xml:space="preserve"> as </w:t>
      </w:r>
      <w:r w:rsidR="00941E66">
        <w:t xml:space="preserve">recruitment </w:t>
      </w:r>
      <w:r w:rsidR="00BB1244">
        <w:t xml:space="preserve">variation </w:t>
      </w:r>
      <w:r w:rsidR="00941E66">
        <w:t>to the population dynamics of SNEMA yellowtail flounder.</w:t>
      </w:r>
    </w:p>
    <w:p w14:paraId="7EDEA377" w14:textId="3E60C519"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t xml:space="preserve">predictions, </w:t>
      </w:r>
      <w:r w:rsidR="00FE3B3F">
        <w:t>and that</w:t>
      </w:r>
      <w:r w:rsidR="00573299">
        <w:t xml:space="preserve"> </w:t>
      </w:r>
      <w:r w:rsidR="00FE3B3F">
        <w:t xml:space="preserve">including an effect of the CPI on </w:t>
      </w:r>
      <w:r w:rsidR="00B62D84">
        <w:t>recruitment</w:t>
      </w:r>
      <w:r w:rsidR="00FE3B3F">
        <w:t xml:space="preserve"> in models with survival and </w:t>
      </w:r>
      <w:r w:rsidR="00FE3B3F" w:rsidRPr="00FE3B3F">
        <w:rPr>
          <w:i/>
          <w:iCs/>
        </w:rPr>
        <w:t>M</w:t>
      </w:r>
      <w:r w:rsidR="00FE3B3F">
        <w:t xml:space="preserve"> deviations</w:t>
      </w:r>
      <w:r w:rsidR="00B62D84">
        <w:t xml:space="preserve"> </w:t>
      </w:r>
      <w:r w:rsidR="00573299">
        <w:t xml:space="preserve">negligibly impacted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w:t>
      </w:r>
      <w:r w:rsidR="00604172">
        <w:t xml:space="preserve">A 3D AR(1)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we introduce in this paper can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073AF1">
        <w:t xml:space="preserve"> (e.g., selectivity and growth</w:t>
      </w:r>
      <w:r w:rsidR="00073AF1">
        <w:rPr>
          <w:rFonts w:hint="eastAsia"/>
          <w:lang w:eastAsia="zh-CN"/>
        </w:rPr>
        <w:t>)</w:t>
      </w:r>
      <w:r w:rsidR="00073AF1">
        <w:t xml:space="preserve"> as well,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AR(1) random effects, currently </w:t>
      </w:r>
      <w:r w:rsidR="00604172">
        <w:lastRenderedPageBreak/>
        <w:t>allowing users to specify them on numbers-at-age, natural mortality, and selectivity (Stock and Miller, this issue).</w:t>
      </w:r>
    </w:p>
    <w:p w14:paraId="3E321473" w14:textId="5C83F3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AR(1)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2D AR(1)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Mohn’s </w:t>
      </w:r>
      <m:oMath>
        <m:r>
          <w:rPr>
            <w:rFonts w:ascii="Cambria Math" w:hAnsi="Cambria Math"/>
          </w:rPr>
          <m:t>ρ</m:t>
        </m:r>
      </m:oMath>
      <w:r w:rsidR="00BE227A">
        <w:t xml:space="preserve"> (Tables 3-4,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Mohn’s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SNEMA yellowtail flounder assessment would provide </w:t>
      </w:r>
      <w:r w:rsidR="00647571">
        <w:t>more reliabl</w:t>
      </w:r>
      <w:r w:rsidR="005E6D51">
        <w:t>e</w:t>
      </w:r>
      <w:r w:rsidR="00647571">
        <w:t xml:space="preserve"> </w:t>
      </w:r>
      <w:r w:rsidR="005E6D51">
        <w:t>estimates</w:t>
      </w:r>
      <w:r w:rsidR="00647571">
        <w:t xml:space="preserve"> </w:t>
      </w:r>
      <w:r w:rsidR="005E6D51">
        <w:t xml:space="preserve">of </w:t>
      </w:r>
      <w:r w:rsidR="00EF0F2D">
        <w:t>stock and harvest status.</w:t>
      </w:r>
    </w:p>
    <w:p w14:paraId="2247624F" w14:textId="593F6C6C"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about 30%, </w:t>
      </w:r>
      <w:r w:rsidR="0070101E">
        <w:t>when</w:t>
      </w:r>
      <w:r w:rsidR="001856BF">
        <w:t xml:space="preserve"> </w:t>
      </w:r>
      <w:r>
        <w:t>the</w:t>
      </w:r>
      <w:r w:rsidR="0070101E">
        <w:t xml:space="preserve"> </w:t>
      </w:r>
      <w:r w:rsidR="001856BF">
        <w:t xml:space="preserve">2D AR(1)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NAA-1, NAA-3, M-2),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r w:rsidR="001A0BB6">
        <w:t xml:space="preserve">affects short-term projections, with the trend near the assessment terminal year becoming important. 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and this clearly resulted in lower projected SSB. The effect of including the 2D AR(1)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 xml:space="preserve">cumulative effect of consecutive years with </w:t>
      </w:r>
      <w:r w:rsidR="001E3FA3">
        <w:lastRenderedPageBreak/>
        <w:t>slightly elevated survival of the plus-group trumped the reduced survival of younger ages. Therefore</w:t>
      </w:r>
      <w:r w:rsidR="002767EC" w:rsidRPr="001D6560">
        <w:t xml:space="preserve">, </w:t>
      </w:r>
      <w:r w:rsidR="006C7F86" w:rsidRPr="001D6560">
        <w:t xml:space="preserve">implementing 2D AR(1)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2D AR(1)</w:t>
      </w:r>
      <w:r w:rsidR="00AE5FDB">
        <w:t xml:space="preserve"> smoother on survival or </w:t>
      </w:r>
      <w:r w:rsidR="00AE5FDB" w:rsidRPr="00AE5FDB">
        <w:rPr>
          <w:i/>
          <w:iCs/>
        </w:rPr>
        <w:t>M</w:t>
      </w:r>
      <w:r w:rsidR="00AE5FDB">
        <w:t xml:space="preserve"> was not clear—models with </w:t>
      </w:r>
      <w:r w:rsidR="00AE5FDB" w:rsidRPr="001D6560">
        <w:t>2D AR(1)</w:t>
      </w:r>
      <w:r w:rsidR="00AE5FDB">
        <w:t xml:space="preserve"> survival deviations had lower AIC, while models with </w:t>
      </w:r>
      <w:r w:rsidR="00AE5FDB" w:rsidRPr="001D6560">
        <w:t>2D AR(1)</w:t>
      </w:r>
      <w:r w:rsidR="00AE5FDB">
        <w:t xml:space="preserve"> </w:t>
      </w:r>
      <w:r w:rsidR="00AE5FDB" w:rsidRPr="00AE5FDB">
        <w:rPr>
          <w:i/>
          <w:iCs/>
        </w:rPr>
        <w:t>M</w:t>
      </w:r>
      <w:r w:rsidR="00AE5FDB">
        <w:t xml:space="preserve"> deviations had lower Mohn’s </w:t>
      </w:r>
      <m:oMath>
        <m:r>
          <w:rPr>
            <w:rFonts w:ascii="Cambria Math" w:hAnsi="Cambria Math"/>
          </w:rPr>
          <m:t>ρ</m:t>
        </m:r>
      </m:oMath>
      <w:r w:rsidR="00AE5FDB">
        <w:t>. This matters because their predicted trends in SSB</w:t>
      </w:r>
      <w:r w:rsidR="008A48AE">
        <w:t xml:space="preserve"> diverged </w:t>
      </w:r>
      <w:r w:rsidR="00AE5FDB">
        <w:t>in the second and third projection years.</w:t>
      </w:r>
    </w:p>
    <w:p w14:paraId="484D700E" w14:textId="27AFF9B9" w:rsidR="00CF271D" w:rsidRDefault="008A48AE" w:rsidP="001829AC">
      <w:pPr>
        <w:pStyle w:val="Chapterheading0"/>
        <w:ind w:firstLine="720"/>
        <w:jc w:val="left"/>
      </w:pPr>
      <w:r>
        <w:t xml:space="preserve">Whether 2D AR(1)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43716265"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4C4F3259"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lastRenderedPageBreak/>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13B4FDC8"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This matters because including the 2D AR(1)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in the 3 year projection time period were</w:t>
      </w:r>
      <w:r w:rsidR="00A463BC">
        <w:t xml:space="preserve"> predicted </w:t>
      </w:r>
      <w:r w:rsidR="006D50E6">
        <w:t xml:space="preserve">by keeping </w:t>
      </w:r>
      <w:r w:rsidR="006D50E6" w:rsidRPr="006D50E6">
        <w:rPr>
          <w:i/>
          <w:iCs/>
        </w:rPr>
        <w:t>F</w:t>
      </w:r>
      <w:r w:rsidR="006D50E6">
        <w:t xml:space="preserve"> constant at the level in the terminal model year, and differing </w:t>
      </w:r>
      <w:r w:rsidR="006D50E6" w:rsidRPr="006D50E6">
        <w:rPr>
          <w:i/>
          <w:iCs/>
        </w:rPr>
        <w:t>F</w:t>
      </w:r>
      <w:r w:rsidR="006D50E6">
        <w:t xml:space="preserve"> may account for some variation in projected SSB. However, the models estimated very similar terminal</w:t>
      </w:r>
      <w:r w:rsidR="00B87620">
        <w:t xml:space="preserve"> year</w:t>
      </w:r>
      <w:r w:rsidR="006D50E6">
        <w:t xml:space="preserve"> </w:t>
      </w:r>
      <w:r w:rsidR="006D50E6" w:rsidRPr="006D50E6">
        <w:rPr>
          <w:i/>
          <w:iCs/>
        </w:rPr>
        <w:t>F</w:t>
      </w:r>
      <w:r w:rsidR="006D50E6">
        <w:t xml:space="preserve">, which was near historic lows and less than the value of </w:t>
      </w:r>
      <w:r w:rsidR="006D50E6" w:rsidRPr="006D50E6">
        <w:rPr>
          <w:i/>
          <w:iCs/>
        </w:rPr>
        <w:t>M</w:t>
      </w:r>
      <w:r w:rsidR="006D50E6">
        <w:t xml:space="preserve"> fixed in the assessment (Figs. 2 and 6). </w:t>
      </w:r>
      <w:r w:rsidR="00B87620">
        <w:t>T</w:t>
      </w:r>
      <w:r w:rsidR="006D50E6">
        <w:t>his likely has negligible impact on the results.</w:t>
      </w:r>
      <w:r w:rsidR="002767EC" w:rsidRPr="009A4919">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AR(1)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 xml:space="preserve">covariate-induced </w:t>
      </w:r>
      <w:r w:rsidR="009C2459">
        <w:lastRenderedPageBreak/>
        <w:t>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69200E45" w14:textId="2A5DD167" w:rsidR="006E0CB5"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NAA-1, NAA-2, and M-1 through M-10) took longer to run than the most complex model, NAA-M-CPI-4 (Table 7). </w:t>
      </w:r>
      <w:r w:rsidR="00F46A02">
        <w:rPr>
          <w:lang w:eastAsia="zh-CN"/>
        </w:rPr>
        <w:t>With or without a sparse Hessian, adding 2D AR(1)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7)</w:t>
      </w:r>
      <w:r w:rsidR="00F46A02">
        <w:rPr>
          <w:lang w:eastAsia="zh-CN"/>
        </w:rPr>
        <w:t xml:space="preserve">. While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incorporating additional complexity into stock assessments via random effects in TMB is </w:t>
      </w:r>
      <w:bookmarkStart w:id="28" w:name="OLE_LINK49"/>
      <w:bookmarkStart w:id="29" w:name="OLE_LINK50"/>
      <w:r w:rsidR="0040254B" w:rsidRPr="0040254B">
        <w:t xml:space="preserve">unlikely to be a </w:t>
      </w:r>
      <w:bookmarkStart w:id="30" w:name="OLE_LINK5"/>
      <w:bookmarkStart w:id="31" w:name="OLE_LINK6"/>
      <w:r w:rsidR="0040254B" w:rsidRPr="0040254B">
        <w:t>hurdle</w:t>
      </w:r>
      <w:bookmarkEnd w:id="30"/>
      <w:bookmarkEnd w:id="31"/>
      <w:r w:rsidR="0040254B" w:rsidRPr="0040254B">
        <w:t xml:space="preserve"> </w:t>
      </w:r>
      <w:r w:rsidR="006F538D">
        <w:t>in the future</w:t>
      </w:r>
      <w:r w:rsidR="00CC772F">
        <w:t>.</w:t>
      </w:r>
      <w:bookmarkStart w:id="32" w:name="_Toc465598054"/>
      <w:bookmarkEnd w:id="28"/>
      <w:bookmarkEnd w:id="29"/>
      <w:r w:rsidR="005E7CE8">
        <w:br w:type="page"/>
      </w:r>
      <w:bookmarkStart w:id="33" w:name="OLE_LINK1"/>
      <w:bookmarkStart w:id="34" w:name="OLE_LINK2"/>
      <w:bookmarkEnd w:id="32"/>
    </w:p>
    <w:p w14:paraId="769849C2" w14:textId="77777777" w:rsidR="004753A9" w:rsidRPr="004C096C" w:rsidRDefault="004753A9" w:rsidP="004753A9">
      <w:pPr>
        <w:pStyle w:val="Heading1"/>
        <w:rPr>
          <w:b w:val="0"/>
        </w:rPr>
      </w:pPr>
      <w:bookmarkStart w:id="35"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r w:rsidRPr="003402DE">
        <w:rPr>
          <w:rFonts w:ascii="Times New Roman" w:hAnsi="Times New Roman" w:cs="Times New Roman"/>
        </w:rPr>
        <w:t xml:space="preserve">Aeberhard, W. H., Mills Flemming,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and F. Csaki, 267–281. Budapest: Akademiai Kiado. Reprinted in Breakthroughs in Statistics,</w:t>
      </w:r>
      <w:r>
        <w:rPr>
          <w:rFonts w:ascii="Times New Roman" w:hAnsi="Times New Roman" w:cs="Times New Roman"/>
        </w:rPr>
        <w:t xml:space="preserve"> </w:t>
      </w:r>
      <w:r w:rsidRPr="008A373A">
        <w:rPr>
          <w:rFonts w:ascii="Times New Roman" w:hAnsi="Times New Roman" w:cs="Times New Roman"/>
        </w:rPr>
        <w:t>ed. S. Kotz,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Aldrin, M., Tvete, I. F., Aanes, S., and Subbey,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4652E56D"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600p</w:t>
      </w:r>
      <w:r w:rsidR="0094661D">
        <w:rPr>
          <w:rFonts w:ascii="Times New Roman" w:hAnsi="Times New Roman" w:cs="Times New Roman"/>
        </w:rPr>
        <w:t>.</w:t>
      </w:r>
      <w:r w:rsidR="006E1844">
        <w:rPr>
          <w:rFonts w:ascii="Times New Roman" w:hAnsi="Times New Roman" w:cs="Times New Roman"/>
        </w:rPr>
        <w:t xml:space="preserve"> </w:t>
      </w:r>
      <w:r w:rsidR="006E1844" w:rsidRPr="006E1844">
        <w:rPr>
          <w:rFonts w:ascii="Times New Roman" w:hAnsi="Times New Roman" w:cs="Times New Roman"/>
        </w:rPr>
        <w:t>https://repository.library.noaa.gov/view/noaa/4193</w:t>
      </w:r>
    </w:p>
    <w:p w14:paraId="7A74E62D" w14:textId="09BB35F0" w:rsidR="006E1844" w:rsidRDefault="006E1844" w:rsidP="004753A9">
      <w:pPr>
        <w:ind w:left="720" w:hanging="720"/>
        <w:rPr>
          <w:rFonts w:ascii="Times New Roman" w:hAnsi="Times New Roman" w:cs="Times New Roman"/>
        </w:rPr>
      </w:pPr>
      <w:r w:rsidRPr="006E1844">
        <w:rPr>
          <w:rFonts w:ascii="Times New Roman" w:hAnsi="Times New Roman" w:cs="Times New Roman"/>
        </w:rPr>
        <w:t xml:space="preserve">NEFSC. 2013. 55th Northeast Regional Stock Assessment Workshop (55th SAW) Assessment Summary Report. US Dept Commer, </w:t>
      </w:r>
      <w:r w:rsidRPr="00165EF1">
        <w:rPr>
          <w:rFonts w:ascii="Times New Roman" w:hAnsi="Times New Roman" w:cs="Times New Roman"/>
        </w:rPr>
        <w:t>Northeast Fish Sci Cent</w:t>
      </w:r>
      <w:r>
        <w:rPr>
          <w:rFonts w:ascii="Times New Roman" w:hAnsi="Times New Roman" w:cs="Times New Roman"/>
        </w:rPr>
        <w:t xml:space="preserve"> </w:t>
      </w:r>
      <w:r w:rsidRPr="006E1844">
        <w:rPr>
          <w:rFonts w:ascii="Times New Roman" w:hAnsi="Times New Roman" w:cs="Times New Roman"/>
        </w:rPr>
        <w:t>Ref Doc 13-01</w:t>
      </w:r>
      <w:r>
        <w:rPr>
          <w:rFonts w:ascii="Times New Roman" w:hAnsi="Times New Roman" w:cs="Times New Roman"/>
        </w:rPr>
        <w:t xml:space="preserve">. 41p. </w:t>
      </w:r>
      <w:r w:rsidRPr="006E1844">
        <w:rPr>
          <w:rFonts w:ascii="Times New Roman" w:hAnsi="Times New Roman" w:cs="Times New Roman"/>
        </w:rPr>
        <w:t>https://repository.library.noaa.gov/view/noaa/4330.</w:t>
      </w:r>
    </w:p>
    <w:p w14:paraId="2D91EB3F" w14:textId="127DAD7A"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sidRPr="00FC3C50">
        <w:rPr>
          <w:rFonts w:ascii="Times New Roman" w:hAnsi="Times New Roman" w:cs="Times New Roman"/>
          <w:color w:val="FF0000"/>
        </w:rPr>
        <w:t>*</w:t>
      </w:r>
      <w:r w:rsidR="006E1844" w:rsidRPr="00FC3C50">
        <w:rPr>
          <w:rFonts w:ascii="Times New Roman" w:hAnsi="Times New Roman" w:cs="Times New Roman"/>
          <w:color w:val="FF0000"/>
        </w:rPr>
        <w:t xml:space="preserve">pre-print, </w:t>
      </w:r>
      <w:r w:rsidR="00B753FB" w:rsidRPr="00FC3C50">
        <w:rPr>
          <w:rFonts w:ascii="Times New Roman" w:hAnsi="Times New Roman" w:cs="Times New Roman"/>
          <w:color w:val="FF0000"/>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2A54ED77" w14:textId="22823A09" w:rsidR="00604172" w:rsidRPr="00165EF1" w:rsidRDefault="00604172" w:rsidP="004753A9">
      <w:pPr>
        <w:ind w:left="720" w:hanging="720"/>
        <w:rPr>
          <w:rFonts w:ascii="Times New Roman" w:hAnsi="Times New Roman" w:cs="Times New Roman"/>
        </w:rPr>
      </w:pPr>
      <w:r w:rsidRPr="00604172">
        <w:rPr>
          <w:rFonts w:ascii="Times New Roman" w:hAnsi="Times New Roman" w:cs="Times New Roman"/>
        </w:rPr>
        <w:t>Punt, A. E., Dunn, A., Elvarsson, B. Þ., Hampton, J., Hoyle, S. D., Maunder, M. N., Methot, R. D., et al. 2020. Essential features of the next-generation integrated fisheries stock assessment package: A perspective. Fisheries Research, 229: 105617.</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14EE30FE"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r w:rsidR="00FC3C50">
        <w:rPr>
          <w:rFonts w:ascii="Times New Roman" w:hAnsi="Times New Roman" w:cs="Times New Roman"/>
        </w:rPr>
        <w:t xml:space="preserve"> </w:t>
      </w:r>
      <w:r w:rsidR="00FC3C50" w:rsidRPr="00FC3C50">
        <w:rPr>
          <w:rFonts w:ascii="Times New Roman" w:hAnsi="Times New Roman" w:cs="Times New Roman"/>
          <w:color w:val="FF0000"/>
        </w:rPr>
        <w:t>*final ref TBD</w:t>
      </w:r>
      <w:r w:rsidR="00FC3C50">
        <w:rPr>
          <w:rFonts w:ascii="Times New Roman" w:hAnsi="Times New Roman" w:cs="Times New Roman"/>
        </w:rPr>
        <w: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159D1C54" w14:textId="728E76A2" w:rsidR="004753A9"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r w:rsidR="004753A9" w:rsidRPr="00165EF1">
        <w:rPr>
          <w:rFonts w:ascii="Times New Roman" w:hAnsi="Times New Roman" w:cs="Times New Roman"/>
        </w:rPr>
        <w:fldChar w:fldCharType="end"/>
      </w:r>
      <w:r w:rsidR="004753A9" w:rsidRPr="00EA75F0">
        <w:rPr>
          <w:rFonts w:ascii="Times New Roman" w:hAnsi="Times New Roman" w:cs="Times New Roman"/>
        </w:rPr>
        <w:fldChar w:fldCharType="begin"/>
      </w:r>
      <w:r w:rsidR="004753A9" w:rsidRPr="00EA75F0">
        <w:rPr>
          <w:rFonts w:ascii="Times New Roman" w:hAnsi="Times New Roman" w:cs="Times New Roman"/>
        </w:rPr>
        <w:instrText xml:space="preserve"> ADDIN </w:instrText>
      </w:r>
      <w:r w:rsidR="004753A9" w:rsidRPr="00EA75F0">
        <w:rPr>
          <w:rFonts w:ascii="Times New Roman" w:hAnsi="Times New Roman" w:cs="Times New Roman"/>
        </w:rPr>
        <w:fldChar w:fldCharType="end"/>
      </w:r>
      <w:r w:rsidR="004753A9">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9"/>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with the covariance given by Eq. 5. NAA-1 is most similar to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Indep.</w:t>
            </w:r>
          </w:p>
        </w:tc>
        <w:tc>
          <w:tcPr>
            <w:tcW w:w="2070" w:type="dxa"/>
            <w:vAlign w:val="center"/>
          </w:tcPr>
          <w:p w14:paraId="6C77878C" w14:textId="38A350FB" w:rsidR="00EB68BC" w:rsidRPr="00A53D54" w:rsidRDefault="00D34B2A"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4BAB36AA" w14:textId="0995F772" w:rsidR="00EB68BC" w:rsidRPr="00A53D54" w:rsidRDefault="00D34B2A"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Indep.</w:t>
            </w:r>
          </w:p>
        </w:tc>
        <w:tc>
          <w:tcPr>
            <w:tcW w:w="2070" w:type="dxa"/>
            <w:vAlign w:val="center"/>
          </w:tcPr>
          <w:p w14:paraId="0D458BD1" w14:textId="3AA7A13F" w:rsidR="00EB68BC" w:rsidRPr="00A53D54" w:rsidRDefault="00D34B2A"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age</w:t>
            </w:r>
          </w:p>
        </w:tc>
        <w:tc>
          <w:tcPr>
            <w:tcW w:w="2070" w:type="dxa"/>
            <w:vAlign w:val="center"/>
          </w:tcPr>
          <w:p w14:paraId="4F311D98" w14:textId="13FCE542" w:rsidR="00EB68BC" w:rsidRPr="00A53D54" w:rsidRDefault="00D34B2A"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64B5C69B" w14:textId="00A83857" w:rsidR="00EB68BC" w:rsidRPr="00A53D54" w:rsidRDefault="00D34B2A"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2D AR(1)</w:t>
            </w:r>
          </w:p>
        </w:tc>
        <w:tc>
          <w:tcPr>
            <w:tcW w:w="2070" w:type="dxa"/>
            <w:tcBorders>
              <w:bottom w:val="single" w:sz="4" w:space="0" w:color="auto"/>
            </w:tcBorders>
            <w:vAlign w:val="center"/>
          </w:tcPr>
          <w:p w14:paraId="3646E187" w14:textId="3498E04F" w:rsidR="00EB68BC" w:rsidRPr="00A53D54" w:rsidRDefault="00D34B2A"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Indep.</w:t>
            </w:r>
          </w:p>
        </w:tc>
        <w:tc>
          <w:tcPr>
            <w:tcW w:w="2250" w:type="dxa"/>
            <w:vAlign w:val="center"/>
          </w:tcPr>
          <w:p w14:paraId="37220FF7" w14:textId="095B0845" w:rsidR="0092249C" w:rsidRPr="00A53D54" w:rsidRDefault="00D34B2A"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38310242" w14:textId="538C0466" w:rsidR="0092249C" w:rsidRPr="00A53D54" w:rsidRDefault="00D34B2A"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4F14463E" w14:textId="7A9E2766" w:rsidR="0092249C" w:rsidRPr="00A53D54" w:rsidRDefault="00D34B2A"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vAlign w:val="center"/>
          </w:tcPr>
          <w:p w14:paraId="20BB8552" w14:textId="458783A0" w:rsidR="0092249C" w:rsidRPr="00A53D54" w:rsidRDefault="00D34B2A"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Cadigan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D34B2A"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Indep.</w:t>
            </w:r>
          </w:p>
        </w:tc>
        <w:tc>
          <w:tcPr>
            <w:tcW w:w="2250" w:type="dxa"/>
            <w:vAlign w:val="center"/>
          </w:tcPr>
          <w:p w14:paraId="3AC01232" w14:textId="1039F961" w:rsidR="0092249C" w:rsidRPr="00727266" w:rsidRDefault="00D34B2A"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53FEFC70" w14:textId="2949C262" w:rsidR="0092249C" w:rsidRPr="00727266" w:rsidRDefault="00D34B2A"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131F102A" w14:textId="52961558" w:rsidR="0092249C" w:rsidRPr="00727266" w:rsidRDefault="00D34B2A"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tcBorders>
              <w:bottom w:val="single" w:sz="4" w:space="0" w:color="auto"/>
            </w:tcBorders>
            <w:vAlign w:val="center"/>
          </w:tcPr>
          <w:p w14:paraId="32F23A4F" w14:textId="4D72C92F" w:rsidR="0092249C" w:rsidRPr="00727266" w:rsidRDefault="00D34B2A"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5"/>
      <w:r w:rsidR="00660ABD">
        <w:rPr>
          <w:rFonts w:ascii="Times New Roman" w:hAnsi="Times New Roman" w:cs="Times New Roman"/>
        </w:rPr>
        <w:t xml:space="preserve"> NAA-6, where survival is a 2D AR1 process across years and ages, had the lowest AIC and 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r w:rsidRPr="00A53D54">
              <w:rPr>
                <w:rFonts w:ascii="Times New Roman" w:hAnsi="Times New Roman" w:cs="Times New Roman"/>
              </w:rPr>
              <w:t xml:space="preserve">Mohn’s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D34B2A"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bookmarkStart w:id="36" w:name="_Hlk47096343"/>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7" w:name="table-2.-m-only-models-where-only-m-is-a"/>
      <w:bookmarkEnd w:id="36"/>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6495679C"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w:t>
      </w:r>
      <w:r w:rsidR="006919C1">
        <w:rPr>
          <w:rFonts w:ascii="Times New Roman" w:hAnsi="Times New Roman" w:cs="Times New Roman"/>
          <w:i/>
          <w:iCs/>
        </w:rPr>
        <w:t>M</w:t>
      </w:r>
      <w:r w:rsidR="00C958E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w:t>
      </w:r>
      <w:r w:rsidR="006919C1">
        <w:rPr>
          <w:rFonts w:ascii="Times New Roman" w:hAnsi="Times New Roman" w:cs="Times New Roman"/>
          <w:i/>
          <w:iCs/>
        </w:rPr>
        <w:t>M</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r w:rsidR="00660ABD">
        <w:rPr>
          <w:rFonts w:ascii="Times New Roman" w:hAnsi="Times New Roman" w:cs="Times New Roman"/>
        </w:rPr>
        <w:t>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M-5 and M-7 had lower Mohn’s</w:t>
      </w:r>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7"/>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w:t>
      </w:r>
      <w:r w:rsidR="006919C1">
        <w:rPr>
          <w:rFonts w:ascii="Times New Roman" w:hAnsi="Times New Roman" w:cs="Times New Roman"/>
          <w:i/>
          <w:iCs/>
        </w:rPr>
        <w:t>M</w:t>
      </w:r>
      <w:r w:rsidRPr="00A53D54">
        <w:rPr>
          <w:rFonts w:ascii="Times New Roman" w:hAnsi="Times New Roman" w:cs="Times New Roman"/>
        </w:rPr>
        <w:t xml:space="preserve">,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r w:rsidR="002A322C">
        <w:rPr>
          <w:rFonts w:ascii="Times New Roman" w:hAnsi="Times New Roman" w:cs="Times New Roman"/>
        </w:rPr>
        <w:t xml:space="preserve">Mohn’s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Mohn’s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r>
              <w:rPr>
                <w:rFonts w:ascii="Times New Roman" w:hAnsi="Times New Roman" w:cs="Times New Roman"/>
              </w:rPr>
              <w:t>Mohn’s</w:t>
            </w:r>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D34B2A"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8" w:name="table-3.-naa-m."/>
    </w:p>
    <w:p w14:paraId="3027FC10" w14:textId="66EB83F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38"/>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NAA-M-5 had the lowest AIC but not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D34B2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D34B2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39"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39"/>
    <w:p w14:paraId="731DD25D" w14:textId="76F7720D"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2 had higher AIC but the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r>
        <w:rPr>
          <w:rFonts w:ascii="Times New Roman" w:hAnsi="Times New Roman" w:cs="Times New Roman"/>
        </w:rPr>
        <w:t xml:space="preserve">Mohn’s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D34B2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D34B2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D34B2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D34B2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D34B2A"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D34B2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D34B2A"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D34B2A"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D34B2A"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D34B2A"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D34B2A"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D34B2A"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2CB9BFB7" w:rsidR="0038372E" w:rsidRPr="00A53D54" w:rsidRDefault="0038372E" w:rsidP="0038372E">
      <w:pPr>
        <w:ind w:firstLine="0"/>
        <w:rPr>
          <w:rFonts w:ascii="Times New Roman" w:hAnsi="Times New Roman" w:cs="Times New Roman"/>
        </w:rPr>
      </w:pPr>
      <w:bookmarkStart w:id="40" w:name="_Toc465521920"/>
      <w:r w:rsidRPr="00A53D54">
        <w:rPr>
          <w:rFonts w:ascii="Times New Roman" w:hAnsi="Times New Roman" w:cs="Times New Roman"/>
        </w:rPr>
        <w:lastRenderedPageBreak/>
        <w:t xml:space="preserve">Table </w:t>
      </w:r>
      <w:r>
        <w:rPr>
          <w:rFonts w:ascii="Times New Roman" w:hAnsi="Times New Roman" w:cs="Times New Roman"/>
        </w:rPr>
        <w:t>7</w:t>
      </w:r>
      <w:r w:rsidRPr="00A53D54">
        <w:rPr>
          <w:rFonts w:ascii="Times New Roman" w:hAnsi="Times New Roman" w:cs="Times New Roman"/>
        </w:rPr>
        <w:t xml:space="preserve">. </w:t>
      </w:r>
      <w:r>
        <w:rPr>
          <w:rFonts w:ascii="Times New Roman" w:hAnsi="Times New Roman" w:cs="Times New Roman"/>
        </w:rPr>
        <w:t>Example model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020A4D3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NAA-1</w:t>
            </w:r>
          </w:p>
        </w:tc>
        <w:tc>
          <w:tcPr>
            <w:tcW w:w="1170" w:type="dxa"/>
            <w:tcBorders>
              <w:top w:val="single" w:sz="2" w:space="0" w:color="auto"/>
            </w:tcBorders>
            <w:vAlign w:val="center"/>
          </w:tcPr>
          <w:p w14:paraId="30581B33" w14:textId="3809400D"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Recruits</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tcBorders>
              <w:top w:val="single" w:sz="2" w:space="0" w:color="auto"/>
            </w:tcBorders>
            <w:vAlign w:val="center"/>
          </w:tcPr>
          <w:p w14:paraId="257B0956" w14:textId="57EAE140"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6E0FA72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NAA-3</w:t>
            </w:r>
          </w:p>
        </w:tc>
        <w:tc>
          <w:tcPr>
            <w:tcW w:w="1170" w:type="dxa"/>
            <w:vAlign w:val="center"/>
          </w:tcPr>
          <w:p w14:paraId="0AA56EEC" w14:textId="0BAD0FE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vAlign w:val="center"/>
          </w:tcPr>
          <w:p w14:paraId="7266EF73" w14:textId="5E623A7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1F0502F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NAA-6</w:t>
            </w:r>
          </w:p>
        </w:tc>
        <w:tc>
          <w:tcPr>
            <w:tcW w:w="1170" w:type="dxa"/>
            <w:vAlign w:val="center"/>
          </w:tcPr>
          <w:p w14:paraId="48F2D563" w14:textId="041D869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2D AR(1)</w:t>
            </w:r>
          </w:p>
        </w:tc>
        <w:tc>
          <w:tcPr>
            <w:tcW w:w="1980" w:type="dxa"/>
            <w:vAlign w:val="center"/>
          </w:tcPr>
          <w:p w14:paraId="6408E027" w14:textId="323DB07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168601E3"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M-2</w:t>
            </w:r>
          </w:p>
        </w:tc>
        <w:tc>
          <w:tcPr>
            <w:tcW w:w="1170" w:type="dxa"/>
            <w:vAlign w:val="center"/>
          </w:tcPr>
          <w:p w14:paraId="3FA0D752" w14:textId="6B089F6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7B3EE95B" w14:textId="1090330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IID</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C16C506"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M-5</w:t>
            </w:r>
          </w:p>
        </w:tc>
        <w:tc>
          <w:tcPr>
            <w:tcW w:w="1170" w:type="dxa"/>
            <w:vAlign w:val="center"/>
          </w:tcPr>
          <w:p w14:paraId="40280C17" w14:textId="50E47D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F46A02" w:rsidRPr="00A53D54" w14:paraId="4012E7D2" w14:textId="77777777" w:rsidTr="00F46A02">
        <w:trPr>
          <w:trHeight w:val="504"/>
        </w:trPr>
        <w:tc>
          <w:tcPr>
            <w:tcW w:w="1728" w:type="dxa"/>
            <w:tcBorders>
              <w:bottom w:val="single" w:sz="4" w:space="0" w:color="auto"/>
            </w:tcBorders>
            <w:vAlign w:val="center"/>
          </w:tcPr>
          <w:p w14:paraId="23C74227" w14:textId="64BCE30D" w:rsidR="00F46A02" w:rsidRPr="00A53D54" w:rsidRDefault="00F46A02" w:rsidP="0038372E">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1170" w:type="dxa"/>
            <w:tcBorders>
              <w:bottom w:val="single" w:sz="4" w:space="0" w:color="auto"/>
            </w:tcBorders>
            <w:vAlign w:val="center"/>
          </w:tcPr>
          <w:p w14:paraId="0D28B16F" w14:textId="3E32B7FA"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All NAA</w:t>
            </w:r>
          </w:p>
        </w:tc>
        <w:tc>
          <w:tcPr>
            <w:tcW w:w="1260" w:type="dxa"/>
            <w:tcBorders>
              <w:bottom w:val="single" w:sz="4" w:space="0" w:color="auto"/>
            </w:tcBorders>
            <w:vAlign w:val="center"/>
          </w:tcPr>
          <w:p w14:paraId="2E41AAA9" w14:textId="6B420BD3"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tcBorders>
              <w:bottom w:val="single" w:sz="4" w:space="0" w:color="auto"/>
            </w:tcBorders>
            <w:vAlign w:val="center"/>
          </w:tcPr>
          <w:p w14:paraId="283CDCBA" w14:textId="0A85C2A6"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tcBorders>
              <w:bottom w:val="single" w:sz="4" w:space="0" w:color="auto"/>
            </w:tcBorders>
            <w:vAlign w:val="center"/>
          </w:tcPr>
          <w:p w14:paraId="0A1765B1" w14:textId="37FCC46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4F739018" w:rsidR="00860B19" w:rsidRDefault="005737D5">
      <w:pPr>
        <w:ind w:firstLine="0"/>
        <w:rPr>
          <w:rFonts w:ascii="Times New Roman" w:hAnsi="Times New Roman" w:cs="Times New Roman"/>
          <w:noProof/>
        </w:rPr>
      </w:pPr>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0"/>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0"/>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3"/>
      <w:bookmarkEnd w:id="34"/>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1"/>
                    <a:stretch>
                      <a:fillRect/>
                    </a:stretch>
                  </pic:blipFill>
                  <pic:spPr>
                    <a:xfrm>
                      <a:off x="0" y="0"/>
                      <a:ext cx="6246231" cy="3306632"/>
                    </a:xfrm>
                    <a:prstGeom prst="rect">
                      <a:avLst/>
                    </a:prstGeom>
                  </pic:spPr>
                </pic:pic>
              </a:graphicData>
            </a:graphic>
          </wp:inline>
        </w:drawing>
      </w:r>
    </w:p>
    <w:p w14:paraId="0F27748C" w14:textId="0AA0B62E"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AR(1)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AR(1)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2"/>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3"/>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top panel) and numbers-at-age (NAA, bottom panel) from the final model with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4"/>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on recruitment, measured as the difference in Mohn’s</w:t>
      </w:r>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2D16F723"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top row), recruitment (middle row), and spawning stock biomass (SSB, bottom row). Lines and points depict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Mohn’s</w:t>
      </w:r>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6"/>
                    <a:stretch>
                      <a:fillRect/>
                    </a:stretch>
                  </pic:blipFill>
                  <pic:spPr>
                    <a:xfrm>
                      <a:off x="0" y="0"/>
                      <a:ext cx="5943600" cy="4245610"/>
                    </a:xfrm>
                    <a:prstGeom prst="rect">
                      <a:avLst/>
                    </a:prstGeom>
                  </pic:spPr>
                </pic:pic>
              </a:graphicData>
            </a:graphic>
          </wp:inline>
        </w:drawing>
      </w:r>
    </w:p>
    <w:p w14:paraId="3A876E22" w14:textId="6D074CE9"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and spawning stock biomass (SSB). base = the statistical catch-at-age model, NAA-1. Within each model class, the model with lowest Mohn’s</w:t>
      </w:r>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F9438F" w:rsidRDefault="00F9438F" w:rsidP="002E1672">
      <w:pPr>
        <w:spacing w:after="0" w:line="240" w:lineRule="auto"/>
      </w:pPr>
      <w:r>
        <w:separator/>
      </w:r>
    </w:p>
  </w:endnote>
  <w:endnote w:type="continuationSeparator" w:id="0">
    <w:p w14:paraId="5033D6FD" w14:textId="77777777" w:rsidR="00F9438F" w:rsidRDefault="00F9438F"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F9438F" w:rsidRDefault="00F9438F">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F9438F" w:rsidRDefault="00F943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F9438F" w:rsidRDefault="00F9438F" w:rsidP="002E1672">
      <w:pPr>
        <w:spacing w:after="0" w:line="240" w:lineRule="auto"/>
      </w:pPr>
      <w:r>
        <w:separator/>
      </w:r>
    </w:p>
  </w:footnote>
  <w:footnote w:type="continuationSeparator" w:id="0">
    <w:p w14:paraId="530060DC" w14:textId="77777777" w:rsidR="00F9438F" w:rsidRDefault="00F9438F"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6AA4"/>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68B4"/>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2FA5"/>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65D"/>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2973"/>
    <w:rsid w:val="006830C6"/>
    <w:rsid w:val="00683637"/>
    <w:rsid w:val="00683FAF"/>
    <w:rsid w:val="0068431C"/>
    <w:rsid w:val="00685C6B"/>
    <w:rsid w:val="0068728F"/>
    <w:rsid w:val="006901A5"/>
    <w:rsid w:val="00691458"/>
    <w:rsid w:val="0069174B"/>
    <w:rsid w:val="006919C1"/>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0FB4"/>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C30"/>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641"/>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8E4"/>
    <w:rsid w:val="00D05AD5"/>
    <w:rsid w:val="00D0673C"/>
    <w:rsid w:val="00D1175A"/>
    <w:rsid w:val="00D11E41"/>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4B2A"/>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AE0"/>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38F"/>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58288-B689-4E64-A93E-EAAD864FC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15698</TotalTime>
  <Pages>37</Pages>
  <Words>13447</Words>
  <Characters>76648</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588</cp:revision>
  <cp:lastPrinted>2017-05-29T05:55:00Z</cp:lastPrinted>
  <dcterms:created xsi:type="dcterms:W3CDTF">2017-06-08T16:51:00Z</dcterms:created>
  <dcterms:modified xsi:type="dcterms:W3CDTF">2020-07-31T21:28:00Z</dcterms:modified>
</cp:coreProperties>
</file>