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color w:val="0c95a5"/>
          <w:sz w:val="28"/>
          <w:szCs w:val="28"/>
        </w:rPr>
      </w:pPr>
      <w:r w:rsidDel="00000000" w:rsidR="00000000" w:rsidRPr="00000000">
        <w:rPr>
          <w:color w:val="0c95a5"/>
          <w:sz w:val="28"/>
          <w:szCs w:val="28"/>
          <w:rtl w:val="0"/>
        </w:rPr>
        <w:t xml:space="preserve">В каждом подъезде есть контейнер для сбора батареек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Обычно такие контейнеры ставят волонтёры. Основные пункты сбора в зоне “Камень” технопарка и в переходе от университета к общежитиям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