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color w:val="0c95a5"/>
          <w:sz w:val="28"/>
          <w:szCs w:val="28"/>
        </w:rPr>
      </w:pPr>
      <w:r w:rsidDel="00000000" w:rsidR="00000000" w:rsidRPr="00000000">
        <w:rPr>
          <w:color w:val="0c95a5"/>
          <w:sz w:val="28"/>
          <w:szCs w:val="28"/>
          <w:rtl w:val="0"/>
        </w:rPr>
        <w:t xml:space="preserve">Всё это нужно выкидывать в общие контейнеры или сдавать в специальные места переработки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Лампочки, батарейки, чайные пакетики, чеки, калька, промасленная, силиконовая бумагу, скотч, влажные салфетки, одноразовые пелёнки, прокладки, тампоны, подгузники, ватные палочки, тубы от зубной пасты и кремов, блистеры от таблеток, шприцы, керамическая и стеклянная посуда (битая), оптическое, оконное, автомобильное стекло, хрусталь, зеркала, резина, латекс, дерево, каучук, обувь, ПЭТ бутылки от масла, целлофан (PAP), биоразлагаемые и грязные (жирные) пакеты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