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jpg" ContentType="image/jpeg"/>
  <Override PartName="/word/media/rId39.png" ContentType="image/png"/>
  <Override PartName="/word/media/rId48.png" ContentType="image/png"/>
  <Override PartName="/word/media/rId66.jpg" ContentType="image/jpeg"/>
  <Override PartName="/word/media/rId47.png" ContentType="image/png"/>
  <Override PartName="/word/media/rId58.png" ContentType="image/png"/>
  <Override PartName="/word/media/rId75.jpg" ContentType="image/jpeg"/>
  <Override PartName="/word/media/rId74.jpg" ContentType="image/jpeg"/>
  <Override PartName="/word/media/rId71.jpg" ContentType="image/jpeg"/>
  <Override PartName="/word/media/rId7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Leveraging Spatial Analysis to Boost the Accuracy of Real Estate Sales Predictions</w:t>
      </w:r>
    </w:p>
    <w:p>
      <w:pPr>
        <w:pStyle w:val="BodyText"/>
      </w:pPr>
    </w:p>
    <w:p>
      <w:pPr>
        <w:pStyle w:val="BodyText"/>
      </w:pPr>
      <w:r>
        <w:t xml:space="preserve">By</w:t>
      </w:r>
    </w:p>
    <w:p>
      <w:pPr>
        <w:pStyle w:val="BodyText"/>
      </w:pPr>
      <w:r>
        <w:rPr>
          <w:b/>
        </w:rPr>
        <w:t xml:space="preserve">Tim Kiely</w:t>
      </w:r>
    </w:p>
    <w:p>
      <w:pPr>
        <w:pStyle w:val="BodyText"/>
      </w:pPr>
      <w:r>
        <w:t xml:space="preserve">Thesis Project</w:t>
      </w:r>
    </w:p>
    <w:p>
      <w:pPr>
        <w:pStyle w:val="BodyText"/>
      </w:pPr>
      <w:r>
        <w:t xml:space="preserve">Submitted in partial fulfillment of the</w:t>
      </w:r>
    </w:p>
    <w:p>
      <w:pPr>
        <w:pStyle w:val="BodyText"/>
      </w:pPr>
      <w:r>
        <w:t xml:space="preserve">requirements for the degree of</w:t>
      </w:r>
    </w:p>
    <w:p>
      <w:pPr>
        <w:pStyle w:val="BodyText"/>
      </w:pPr>
      <w:r>
        <w:t xml:space="preserve"> </w:t>
      </w:r>
    </w:p>
    <w:p>
      <w:pPr>
        <w:pStyle w:val="BodyText"/>
      </w:pPr>
      <w:r>
        <w:t xml:space="preserve">MASTER OF SCIENCE IN DATA SCIENCE</w:t>
      </w:r>
    </w:p>
    <w:p>
      <w:pPr>
        <w:pStyle w:val="BodyText"/>
      </w:pPr>
      <w:r>
        <w:t xml:space="preserve"> </w:t>
      </w:r>
    </w:p>
    <w:p>
      <w:pPr>
        <w:pStyle w:val="BodyText"/>
      </w:pPr>
      <w:r>
        <w:t xml:space="preserve">Northwestern University</w:t>
      </w:r>
    </w:p>
    <w:p>
      <w:pPr>
        <w:pStyle w:val="BodyText"/>
      </w:pPr>
      <w:r>
        <w:t xml:space="preserve"> </w:t>
      </w:r>
    </w:p>
    <w:p>
      <w:pPr>
        <w:pStyle w:val="BodyText"/>
      </w:pPr>
      <w:r>
        <w:t xml:space="preserve">Nathaniel D. Bastian, Ph.D., First Reader</w:t>
      </w:r>
    </w:p>
    <w:p>
      <w:pPr>
        <w:pStyle w:val="BodyText"/>
      </w:pPr>
      <w:r>
        <w:t xml:space="preserve">Candice Bradley, Second Reader</w:t>
      </w:r>
    </w:p>
    <w:p>
      <w:pPr>
        <w:pStyle w:val="Heading1"/>
      </w:pPr>
      <w:bookmarkStart w:id="20" w:name="introduction"/>
      <w:r>
        <w:t xml:space="preserve">Introduction</w:t>
      </w:r>
      <w:bookmarkEnd w:id="20"/>
    </w:p>
    <w:p>
      <w:pPr>
        <w:pStyle w:val="Heading2"/>
      </w:pPr>
      <w:bookmarkStart w:id="21" w:name="the-spatially-conscious-machine-learning-model"/>
      <w:r>
        <w:t xml:space="preserve">The Spatially-Conscious Machine Learning Model</w:t>
      </w:r>
      <w:bookmarkEnd w:id="21"/>
    </w:p>
    <w:p>
      <w:pPr>
        <w:pStyle w:val="FirstParagraph"/>
      </w:pPr>
      <w:r>
        <w:t xml:space="preserve">Things near each other tend to be like each other. This concept is a well-known problem in traditional spatial analysis and is typically referred to as</w:t>
      </w:r>
      <w:r>
        <w:t xml:space="preserve"> </w:t>
      </w:r>
      <w:r>
        <w:rPr>
          <w:i/>
        </w:rPr>
        <w:t xml:space="preserve">spatial autocorrelation</w:t>
      </w:r>
      <w:r>
        <w:t xml:space="preserve">. In statistics, this is said to</w:t>
      </w:r>
      <w:r>
        <w:t xml:space="preserve"> </w:t>
      </w:r>
      <w:r>
        <w:t xml:space="preserve">“</w:t>
      </w:r>
      <w:r>
        <w:t xml:space="preserve">reduce the amount of information</w:t>
      </w:r>
      <w:r>
        <w:t xml:space="preserve">”</w:t>
      </w:r>
      <w:r>
        <w:t xml:space="preserve"> </w:t>
      </w:r>
      <w:r>
        <w:t xml:space="preserve">pertaining to spatially proximate observations as they can, in part, be used to predict each other. But can spatial features be used in a machine-learning context to make better predictions? This work demonstrates that the addition of</w:t>
      </w:r>
      <w:r>
        <w:t xml:space="preserve"> </w:t>
      </w:r>
      <w:r>
        <w:t xml:space="preserve">“</w:t>
      </w:r>
      <w:r>
        <w:t xml:space="preserve">spatial lag</w:t>
      </w:r>
      <w:r>
        <w:t xml:space="preserve">”</w:t>
      </w:r>
      <w:r>
        <w:t xml:space="preserve"> </w:t>
      </w:r>
      <w:r>
        <w:t xml:space="preserve">features to machine learning models significantly increases accuracy when predicting real estate sales and sale prices.</w:t>
      </w:r>
    </w:p>
    <w:p>
      <w:pPr>
        <w:pStyle w:val="Heading2"/>
      </w:pPr>
      <w:bookmarkStart w:id="22" w:name="motivation-combating-income-inequality-by-predicting-gentrification"/>
      <w:r>
        <w:t xml:space="preserve">Motivation: Combating Income Inequality by Predicting Gentrification</w:t>
      </w:r>
      <w:bookmarkEnd w:id="22"/>
    </w:p>
    <w:p>
      <w:pPr>
        <w:pStyle w:val="FirstParagraph"/>
      </w:pPr>
      <w:r>
        <w:t xml:space="preserve">Researchers at the Urban Institute</w:t>
      </w:r>
      <w:r>
        <w:t xml:space="preserve"> </w:t>
      </w:r>
      <w:r>
        <w:t xml:space="preserve">(Solomon Greene and Lei 2016)</w:t>
      </w:r>
      <w:r>
        <w:t xml:space="preserve"> </w:t>
      </w:r>
      <w:r>
        <w:t xml:space="preserve">recently identified</w:t>
      </w:r>
      <w:r>
        <w:t xml:space="preserve"> </w:t>
      </w:r>
      <w:r>
        <w:t xml:space="preserve">“</w:t>
      </w:r>
      <w:r>
        <w:t xml:space="preserve">Economic Exclusion</w:t>
      </w:r>
      <w:r>
        <w:t xml:space="preserve">”</w:t>
      </w:r>
      <w:r>
        <w:t xml:space="preserve"> </w:t>
      </w:r>
      <w:r>
        <w:t xml:space="preserve">as a powerful contributor to income inequality in the United States.</w:t>
      </w:r>
      <w:r>
        <w:t xml:space="preserve"> </w:t>
      </w:r>
      <w:r>
        <w:t xml:space="preserve">“</w:t>
      </w:r>
      <w:r>
        <w:t xml:space="preserve">Economic Exclusion</w:t>
      </w:r>
      <w:r>
        <w:t xml:space="preserve">”</w:t>
      </w:r>
      <w:r>
        <w:t xml:space="preserve"> </w:t>
      </w:r>
      <w:r>
        <w:t xml:space="preserve">can be defined as follows: vulnerable populations–disproportionately communities of color, immigrants, refugees, and women–who are physically displaced by local economic prosperity enter a continuous cycle of diminished access to good jobs, good schools, health care facilities, public spaces, and other economic and social resources. Diminished access leads to more poverty, which leads to more displacement. This self-reinforcing cycle of poverty and exclusion gradually exacerbates income inequality over the course years and generations. What can be done to intervene?</w:t>
      </w:r>
    </w:p>
    <w:p>
      <w:pPr>
        <w:pStyle w:val="BodyText"/>
      </w:pPr>
      <w:r>
        <w:t xml:space="preserve">Stopping Economic Exclusion requires preventing displacement. As defined by</w:t>
      </w:r>
      <w:r>
        <w:t xml:space="preserve"> </w:t>
      </w:r>
      <w:r>
        <w:t xml:space="preserve">Clay (1979)</w:t>
      </w:r>
      <w:r>
        <w:t xml:space="preserve">,</w:t>
      </w:r>
      <w:r>
        <w:t xml:space="preserve"> </w:t>
      </w:r>
      <w:r>
        <w:t xml:space="preserve">“</w:t>
      </w:r>
      <w:r>
        <w:t xml:space="preserve">displacement</w:t>
      </w:r>
      <w:r>
        <w:t xml:space="preserve">”</w:t>
      </w:r>
      <w:r>
        <w:t xml:space="preserve"> </w:t>
      </w:r>
      <w:r>
        <w:t xml:space="preserve">can be thought of as the negative consequence of gentrification, where affordability pressures force vulnerable populations to relocate due to localized economic prosperity. Reliably predicting gentrification would be a valuable tool for preventing displacement at an early stage; however, such a task has proven difficult historically.</w:t>
      </w:r>
    </w:p>
    <w:p>
      <w:pPr>
        <w:pStyle w:val="BodyText"/>
      </w:pPr>
      <w:r>
        <w:t xml:space="preserve">When an area experiences economic growth, increased housing demands and subsequent affordability pressures can lead to voluntary or involuntary relocation of low-income families and small businesses. Government agencies and nonprofits tend to intervene once displacement is already underway, and after-the-fact interventions can be costly and ineffective. As explained by</w:t>
      </w:r>
      <w:r>
        <w:t xml:space="preserve"> </w:t>
      </w:r>
      <w:r>
        <w:t xml:space="preserve">Solomon Greene and Lei (2016)</w:t>
      </w:r>
      <w:r>
        <w:t xml:space="preserve">, several preemptive actions exist which can be deployed to stem divestment and ensure that existing residents benefit from local prosperity. Potential interventions include regulation, affordable housing, micro-financing, tax subsidies, vouchers, and more. Not unlike medical treatment, early detection is the key to success.</w:t>
      </w:r>
    </w:p>
    <w:p>
      <w:pPr>
        <w:pStyle w:val="BodyText"/>
      </w:pPr>
      <w:r>
        <w:t xml:space="preserve">Consequently, in 2016, the Urban Institute published a series of essays outlining the few ways city governments employ</w:t>
      </w:r>
      <w:r>
        <w:t xml:space="preserve"> </w:t>
      </w:r>
      <w:r>
        <w:t xml:space="preserve">“</w:t>
      </w:r>
      <w:r>
        <w:t xml:space="preserve">Big data and crowdsourced data</w:t>
      </w:r>
      <w:r>
        <w:t xml:space="preserve">”</w:t>
      </w:r>
      <w:r>
        <w:t xml:space="preserve"> </w:t>
      </w:r>
      <w:r>
        <w:t xml:space="preserve">to</w:t>
      </w:r>
      <w:r>
        <w:t xml:space="preserve"> </w:t>
      </w:r>
      <w:r>
        <w:t xml:space="preserve">“</w:t>
      </w:r>
      <w:r>
        <w:t xml:space="preserve">better identify excluded people and communities, connect them to needed services, and improve service delivery</w:t>
      </w:r>
      <w:r>
        <w:t xml:space="preserve">”</w:t>
      </w:r>
      <w:r>
        <w:t xml:space="preserve">, noting that</w:t>
      </w:r>
      <w:r>
        <w:t xml:space="preserve"> </w:t>
      </w:r>
      <w:r>
        <w:t xml:space="preserve">“</w:t>
      </w:r>
      <w:r>
        <w:t xml:space="preserve">much more could be done</w:t>
      </w:r>
      <w:r>
        <w:t xml:space="preserve">”</w:t>
      </w:r>
      <w:r>
        <w:t xml:space="preserve"> </w:t>
      </w:r>
      <w:r>
        <w:t xml:space="preserve">(Solomon Greene and Lei 2016)</w:t>
      </w:r>
      <w:r>
        <w:t xml:space="preserve">. This work seeks to further the research into using free, open data, open-source software and cutting-edge techniques to predict trends in gentrification, with the aim of identifying high-risk households and areas in need of intervention.</w:t>
      </w:r>
    </w:p>
    <w:p>
      <w:pPr>
        <w:pStyle w:val="BodyText"/>
      </w:pPr>
      <w:r>
        <w:t xml:space="preserve">Many government agencies have, to date, demonstrated the benefits of applied predictive modeling, ranging from prescription drug abuse prevention to homelessness intervention to recidivism reduction</w:t>
      </w:r>
      <w:r>
        <w:t xml:space="preserve"> </w:t>
      </w:r>
      <w:r>
        <w:t xml:space="preserve">(Ritter 2013)</w:t>
      </w:r>
      <w:r>
        <w:t xml:space="preserve">. However, few, if any, examples exist of large-scale, systematic applications of data analysis to aid vulnerable populations experiencing displacement. This paper belongs to an emerging trend known as the</w:t>
      </w:r>
      <w:r>
        <w:t xml:space="preserve"> </w:t>
      </w:r>
      <w:r>
        <w:t xml:space="preserve">“</w:t>
      </w:r>
      <w:r>
        <w:t xml:space="preserve">science of cities</w:t>
      </w:r>
      <w:r>
        <w:t xml:space="preserve">”</w:t>
      </w:r>
      <w:r>
        <w:t xml:space="preserve"> </w:t>
      </w:r>
      <w:r>
        <w:t xml:space="preserve">which aims to use large data sets and advanced simulation and modeling techniques to understand and improve urban patterns and how cities function</w:t>
      </w:r>
      <w:r>
        <w:t xml:space="preserve"> </w:t>
      </w:r>
      <w:r>
        <w:t xml:space="preserve">(Batty 2013)</w:t>
      </w:r>
      <w:r>
        <w:t xml:space="preserve">.</w:t>
      </w:r>
    </w:p>
    <w:p>
      <w:pPr>
        <w:pStyle w:val="BodyText"/>
      </w:pPr>
      <w:r>
        <w:t xml:space="preserve">This work explores techniques that can dramatically boost the accuracy of existing gentrification prediction models. We use real estate transactions in New York City, both their occurrence (probability of sale) and their dollar amount (sale price per square foot) as a proxy for gentrification. The technique marries the use of machine-learning predictive modeling with</w:t>
      </w:r>
      <w:r>
        <w:t xml:space="preserve"> </w:t>
      </w:r>
      <w:r>
        <w:t xml:space="preserve">“</w:t>
      </w:r>
      <w:r>
        <w:t xml:space="preserve">spatial-lag</w:t>
      </w:r>
      <w:r>
        <w:t xml:space="preserve">”</w:t>
      </w:r>
      <w:r>
        <w:t xml:space="preserve"> </w:t>
      </w:r>
      <w:r>
        <w:t xml:space="preserve">features typically seen in geographically-weighted regressions (GWR). We employ a two-step modeling process in which we 1) determine the optimal building types and geographies suited to our feature engineering assumptions and 2) perform a comparative analysis across several state-of-the-art algorithms (Generalized Linear Model, Random Forest, Gradient Boosting Machine, Artificial Neural Network). We conclude that spatially-conscious machine learning models consistently outperform traditional real estate valuation and predictive modeling techniques.</w:t>
      </w:r>
    </w:p>
    <w:p>
      <w:pPr>
        <w:pStyle w:val="Heading1"/>
      </w:pPr>
      <w:bookmarkStart w:id="23" w:name="literature-review"/>
      <w:r>
        <w:t xml:space="preserve">Literature Review</w:t>
      </w:r>
      <w:bookmarkEnd w:id="23"/>
    </w:p>
    <w:p>
      <w:pPr>
        <w:pStyle w:val="FirstParagraph"/>
      </w:pPr>
      <w:r>
        <w:t xml:space="preserve">The literature review for this paper discusses the academic study of Economic Displacement, primarily as it relates to gentrification. We also examine</w:t>
      </w:r>
      <w:r>
        <w:t xml:space="preserve"> </w:t>
      </w:r>
      <w:r>
        <w:t xml:space="preserve">“</w:t>
      </w:r>
      <w:r>
        <w:t xml:space="preserve">mass appraisal techniques,</w:t>
      </w:r>
      <w:r>
        <w:t xml:space="preserve">”</w:t>
      </w:r>
      <w:r>
        <w:t xml:space="preserve"> </w:t>
      </w:r>
      <w:r>
        <w:t xml:space="preserve">which are automated analytical techniques used for valuing large numbers of real estate properties. Finally, we examine recent applications of machine learning as it relates to predicting gentrification.</w:t>
      </w:r>
    </w:p>
    <w:p>
      <w:pPr>
        <w:pStyle w:val="Heading2"/>
      </w:pPr>
      <w:bookmarkStart w:id="24" w:name="what-is-economic-displacement"/>
      <w:r>
        <w:t xml:space="preserve">What is Economic Displacement?</w:t>
      </w:r>
      <w:bookmarkEnd w:id="24"/>
    </w:p>
    <w:p>
      <w:pPr>
        <w:pStyle w:val="FirstParagraph"/>
      </w:pPr>
      <w:r>
        <w:t xml:space="preserve">Economic Displacement has been intertwined with the study of gentrification since shortly after the latter became academically relevant in the 1960s. The term</w:t>
      </w:r>
      <w:r>
        <w:t xml:space="preserve"> </w:t>
      </w:r>
      <w:r>
        <w:t xml:space="preserve">“</w:t>
      </w:r>
      <w:r>
        <w:t xml:space="preserve">gentrification</w:t>
      </w:r>
      <w:r>
        <w:t xml:space="preserve">”</w:t>
      </w:r>
      <w:r>
        <w:t xml:space="preserve"> </w:t>
      </w:r>
      <w:r>
        <w:t xml:space="preserve">was first used by Ruth Glass in 1964 to describe the</w:t>
      </w:r>
      <w:r>
        <w:t xml:space="preserve"> </w:t>
      </w:r>
      <w:r>
        <w:t xml:space="preserve">“</w:t>
      </w:r>
      <w:r>
        <w:t xml:space="preserve">gentry</w:t>
      </w:r>
      <w:r>
        <w:t xml:space="preserve">”</w:t>
      </w:r>
      <w:r>
        <w:t xml:space="preserve"> </w:t>
      </w:r>
      <w:r>
        <w:t xml:space="preserve">in low-income neighborhoods in London. Originally, academics thought of gentrification as a</w:t>
      </w:r>
      <w:r>
        <w:t xml:space="preserve"> </w:t>
      </w:r>
      <w:r>
        <w:t xml:space="preserve">“</w:t>
      </w:r>
      <w:r>
        <w:t xml:space="preserve">tool of revitalization for declining neighborhoods</w:t>
      </w:r>
      <w:r>
        <w:t xml:space="preserve">”</w:t>
      </w:r>
      <w:r>
        <w:t xml:space="preserve"> </w:t>
      </w:r>
      <w:r>
        <w:t xml:space="preserve">(Zuk 2015)</w:t>
      </w:r>
      <w:r>
        <w:t xml:space="preserve">, however, in 1979 Phillip Clay highlighted that gentrification brought both positive and negative consequences to local populations and described the negative as Economic Exclusion</w:t>
      </w:r>
      <w:r>
        <w:t xml:space="preserve"> </w:t>
      </w:r>
      <w:r>
        <w:t xml:space="preserve">(Clay 1979)</w:t>
      </w:r>
      <w:r>
        <w:t xml:space="preserve">. Today, the term has adopted a more neutral connotation, describing the</w:t>
      </w:r>
      <w:r>
        <w:t xml:space="preserve"> </w:t>
      </w:r>
      <w:r>
        <w:t xml:space="preserve">“</w:t>
      </w:r>
      <w:r>
        <w:t xml:space="preserve">spatial organization and re-organization of human dwelling and activity</w:t>
      </w:r>
      <w:r>
        <w:t xml:space="preserve">”</w:t>
      </w:r>
      <w:r>
        <w:t xml:space="preserve"> </w:t>
      </w:r>
      <w:r>
        <w:t xml:space="preserve">(Zuk 2015)</w:t>
      </w:r>
      <w:r>
        <w:t xml:space="preserve">. Specific to cities, recent literature defines gentrification as</w:t>
      </w:r>
      <w:r>
        <w:t xml:space="preserve"> </w:t>
      </w:r>
      <w:r>
        <w:t xml:space="preserve">“</w:t>
      </w:r>
      <w:r>
        <w:t xml:space="preserve">the transformation of a working-class or vacant area of the central city into middle-class residential or commercial use</w:t>
      </w:r>
      <w:r>
        <w:t xml:space="preserve">”</w:t>
      </w:r>
      <w:r>
        <w:t xml:space="preserve"> </w:t>
      </w:r>
      <w:r>
        <w:t xml:space="preserve">(Lees 2008)</w:t>
      </w:r>
      <w:r>
        <w:t xml:space="preserve">.</w:t>
      </w:r>
    </w:p>
    <w:p>
      <w:pPr>
        <w:pStyle w:val="BodyText"/>
      </w:pPr>
      <w:r>
        <w:t xml:space="preserve">Studies of gentrification and displacement generally take two approaches in the literature: supply-side and demand-side, or</w:t>
      </w:r>
      <w:r>
        <w:t xml:space="preserve"> </w:t>
      </w:r>
      <w:r>
        <w:t xml:space="preserve">“</w:t>
      </w:r>
      <w:r>
        <w:t xml:space="preserve">the flows of capital versus flows of people to neighborhoods,</w:t>
      </w:r>
      <w:r>
        <w:t xml:space="preserve">”</w:t>
      </w:r>
      <w:r>
        <w:t xml:space="preserve"> </w:t>
      </w:r>
      <w:r>
        <w:t xml:space="preserve">respectively</w:t>
      </w:r>
      <w:r>
        <w:t xml:space="preserve"> </w:t>
      </w:r>
      <w:r>
        <w:t xml:space="preserve">(Zuk 2015)</w:t>
      </w:r>
      <w:r>
        <w:t xml:space="preserve">. Supply-side arguments for gentrification tend to focus on</w:t>
      </w:r>
      <w:r>
        <w:t xml:space="preserve"> </w:t>
      </w:r>
      <w:r>
        <w:t xml:space="preserve">“</w:t>
      </w:r>
      <w:r>
        <w:t xml:space="preserve">private capital investment, public policies, and public investments</w:t>
      </w:r>
      <w:r>
        <w:t xml:space="preserve">”</w:t>
      </w:r>
      <w:r>
        <w:t xml:space="preserve"> </w:t>
      </w:r>
      <w:r>
        <w:t xml:space="preserve">(Zuk 2015)</w:t>
      </w:r>
      <w:r>
        <w:t xml:space="preserve"> </w:t>
      </w:r>
      <w:r>
        <w:t xml:space="preserve">and are much more often the subject of academic literature on Economic Displacement. This kind of research may be more common because it has the advantage of being more directly linked to influencing public policy (as opposed to controlling the flows of people). According to</w:t>
      </w:r>
      <w:r>
        <w:t xml:space="preserve"> </w:t>
      </w:r>
      <w:r>
        <w:t xml:space="preserve">Dreier (2004)</w:t>
      </w:r>
      <w:r>
        <w:t xml:space="preserve">, public policies that can increase Economic Displacement have been, among others, automobile-oriented transportation infrastructure spending and mortgage interest tax deductions for homeowners. Others that have argued for supply-side gentrification include</w:t>
      </w:r>
      <w:r>
        <w:t xml:space="preserve"> </w:t>
      </w:r>
      <w:r>
        <w:t xml:space="preserve">Smith (1979)</w:t>
      </w:r>
      <w:r>
        <w:t xml:space="preserve">, who stated that the return of capital from the suburbs to the city, or the</w:t>
      </w:r>
      <w:r>
        <w:t xml:space="preserve"> </w:t>
      </w:r>
      <w:r>
        <w:t xml:space="preserve">“</w:t>
      </w:r>
      <w:r>
        <w:t xml:space="preserve">political economy of capital flows into urban areas</w:t>
      </w:r>
      <w:r>
        <w:t xml:space="preserve">”</w:t>
      </w:r>
      <w:r>
        <w:t xml:space="preserve"> </w:t>
      </w:r>
      <w:r>
        <w:t xml:space="preserve">are what primarily drive both the positive and negative consequences of urban gentrification.</w:t>
      </w:r>
    </w:p>
    <w:p>
      <w:pPr>
        <w:pStyle w:val="BodyText"/>
      </w:pPr>
      <w:r>
        <w:t xml:space="preserve">More recently, researchers have explored Economic Displacement as a contributor to income inequality</w:t>
      </w:r>
      <w:r>
        <w:t xml:space="preserve"> </w:t>
      </w:r>
      <w:r>
        <w:t xml:space="preserve">(Reardon 2011)</w:t>
      </w:r>
      <w:r>
        <w:t xml:space="preserve">;</w:t>
      </w:r>
      <w:r>
        <w:t xml:space="preserve"> </w:t>
      </w:r>
      <w:r>
        <w:t xml:space="preserve">(Watson 2009)</w:t>
      </w:r>
      <w:r>
        <w:t xml:space="preserve">. For example,</w:t>
      </w:r>
      <w:r>
        <w:t xml:space="preserve"> </w:t>
      </w:r>
      <w:r>
        <w:t xml:space="preserve">Reardon (2011)</w:t>
      </w:r>
      <w:r>
        <w:t xml:space="preserve"> </w:t>
      </w:r>
      <w:r>
        <w:t xml:space="preserve">argues that concentrations of wealth allow</w:t>
      </w:r>
      <w:r>
        <w:t xml:space="preserve"> </w:t>
      </w:r>
      <w:r>
        <w:t xml:space="preserve">“</w:t>
      </w:r>
      <w:r>
        <w:t xml:space="preserve">certain households to sort themselves according to their preferences – and control local political processes that continue exclusion.</w:t>
      </w:r>
      <w:r>
        <w:t xml:space="preserve">”</w:t>
      </w:r>
      <w:r>
        <w:t xml:space="preserve"> </w:t>
      </w:r>
      <w:r>
        <w:t xml:space="preserve">The exercising of political influence by prosperous residents results in a feedback loop producing downward economic pressure on households who lack political influence. Gentrification prediction tools could be used to help break such feedback loops through early identification and intervention.</w:t>
      </w:r>
    </w:p>
    <w:p>
      <w:pPr>
        <w:pStyle w:val="BodyText"/>
      </w:pPr>
      <w:r>
        <w:t xml:space="preserve">Many studies conclude that gentrification in most forms leads to exclusionary economic displacement; however,</w:t>
      </w:r>
      <w:r>
        <w:t xml:space="preserve"> </w:t>
      </w:r>
      <w:r>
        <w:t xml:space="preserve">Zuk (2015)</w:t>
      </w:r>
      <w:r>
        <w:t xml:space="preserve"> </w:t>
      </w:r>
      <w:r>
        <w:t xml:space="preserve">characterizes the results of many recent studies as</w:t>
      </w:r>
      <w:r>
        <w:t xml:space="preserve"> </w:t>
      </w:r>
      <w:r>
        <w:t xml:space="preserve">“</w:t>
      </w:r>
      <w:r>
        <w:t xml:space="preserve">mixed, due in part to methodological shortcomings.</w:t>
      </w:r>
      <w:r>
        <w:t xml:space="preserve">”</w:t>
      </w:r>
      <w:r>
        <w:t xml:space="preserve"> </w:t>
      </w:r>
      <w:r>
        <w:t xml:space="preserve">In this paper, we attempt to further the understanding of gentrification prediction by demonstrating a technique to better predict real estate sales in New York City.</w:t>
      </w:r>
    </w:p>
    <w:p>
      <w:pPr>
        <w:pStyle w:val="Heading2"/>
      </w:pPr>
      <w:bookmarkStart w:id="25" w:name="a-review-of-mass-appraisal-techniques"/>
      <w:r>
        <w:t xml:space="preserve">A Review of Mass Appraisal Techniques</w:t>
      </w:r>
      <w:bookmarkEnd w:id="25"/>
    </w:p>
    <w:p>
      <w:pPr>
        <w:pStyle w:val="FirstParagraph"/>
      </w:pPr>
      <w:r>
        <w:t xml:space="preserve">Much research on predicting real estate prices has been in service of creating mass appraisal models. Local governments most commonly use mass appraisal models to assign taxable values to properties. Mass appraisal models share many characteristics with predictive machine learning models, in that they are data-driven, standardized methods that employ statistical testing</w:t>
      </w:r>
      <w:r>
        <w:t xml:space="preserve"> </w:t>
      </w:r>
      <w:r>
        <w:t xml:space="preserve">(Eckert 1990)</w:t>
      </w:r>
      <w:r>
        <w:t xml:space="preserve">. A variation on mass appraisal models are the</w:t>
      </w:r>
      <w:r>
        <w:t xml:space="preserve"> </w:t>
      </w:r>
      <w:r>
        <w:t xml:space="preserve">“</w:t>
      </w:r>
      <w:r>
        <w:t xml:space="preserve">automated valuation models</w:t>
      </w:r>
      <w:r>
        <w:t xml:space="preserve">”</w:t>
      </w:r>
      <w:r>
        <w:t xml:space="preserve"> </w:t>
      </w:r>
      <w:r>
        <w:t xml:space="preserve">(AVM), which use</w:t>
      </w:r>
      <w:r>
        <w:t xml:space="preserve"> </w:t>
      </w:r>
      <w:r>
        <w:t xml:space="preserve">“</w:t>
      </w:r>
      <w:r>
        <w:t xml:space="preserve">often the same methodological framework of mass appraisal… a statistical model and a large amount of property data to estimate the market value of an individual property or portfolio of properties</w:t>
      </w:r>
      <w:r>
        <w:t xml:space="preserve">”</w:t>
      </w:r>
      <w:r>
        <w:t xml:space="preserve"> </w:t>
      </w:r>
      <w:r>
        <w:t xml:space="preserve">(d’Amato 2017)</w:t>
      </w:r>
      <w:r>
        <w:t xml:space="preserve">.</w:t>
      </w:r>
    </w:p>
    <w:p>
      <w:pPr>
        <w:pStyle w:val="BodyText"/>
      </w:pPr>
      <w:r>
        <w:t xml:space="preserve">Scientific mass appraisal models date back to 1936 with the reappraisal of St. Paul, Minnesota</w:t>
      </w:r>
      <w:r>
        <w:t xml:space="preserve"> </w:t>
      </w:r>
      <w:r>
        <w:t xml:space="preserve">(Silverherz 1936)</w:t>
      </w:r>
      <w:r>
        <w:t xml:space="preserve">. Since that time, and accelerated with the advent of computers, much statistical research has been done relating property values and rent prices to various characteristics of those properties, including characteristics of their surrounding area. Multiple regression analysis (MRA) has been the most common set of statistical tools used in mass appraisal, including Maximum Likelihood, Weighted Least Squares, and the most popular, Ordinary Least Squares (OLS)</w:t>
      </w:r>
      <w:r>
        <w:t xml:space="preserve"> </w:t>
      </w:r>
      <w:r>
        <w:t xml:space="preserve">(d’Amato 2017)</w:t>
      </w:r>
      <w:r>
        <w:t xml:space="preserve">. The primary drawbacks of MRA techniques are</w:t>
      </w:r>
      <w:r>
        <w:t xml:space="preserve"> </w:t>
      </w:r>
      <w:r>
        <w:t xml:space="preserve">“</w:t>
      </w:r>
      <w:r>
        <w:t xml:space="preserve">excessive multicollinearity among attributes</w:t>
      </w:r>
      <w:r>
        <w:t xml:space="preserve">”</w:t>
      </w:r>
      <w:r>
        <w:t xml:space="preserve"> </w:t>
      </w:r>
      <w:r>
        <w:t xml:space="preserve">and</w:t>
      </w:r>
      <w:r>
        <w:t xml:space="preserve"> </w:t>
      </w:r>
      <w:r>
        <w:t xml:space="preserve">“</w:t>
      </w:r>
      <w:r>
        <w:t xml:space="preserve">spatial autocorrelation among residuals</w:t>
      </w:r>
      <w:r>
        <w:t xml:space="preserve">”</w:t>
      </w:r>
      <w:r>
        <w:t xml:space="preserve"> </w:t>
      </w:r>
      <w:r>
        <w:t xml:space="preserve">(d’Amato 2017)</w:t>
      </w:r>
      <w:r>
        <w:t xml:space="preserve">. Another group of models that seek to correct for spatial dependence are known as Spatial Auto-Regressive models (SAR), chief among them the Spatial Lag Model, which aggregates weighted summaries of nearby properties to create independent regression variables</w:t>
      </w:r>
      <w:r>
        <w:t xml:space="preserve"> </w:t>
      </w:r>
      <w:r>
        <w:t xml:space="preserve">(d’Amato 2017)</w:t>
      </w:r>
      <w:r>
        <w:t xml:space="preserve">.</w:t>
      </w:r>
    </w:p>
    <w:p>
      <w:pPr>
        <w:pStyle w:val="BodyText"/>
      </w:pPr>
      <w:r>
        <w:t xml:space="preserve">So-called</w:t>
      </w:r>
      <w:r>
        <w:t xml:space="preserve"> </w:t>
      </w:r>
      <w:r>
        <w:t xml:space="preserve">“</w:t>
      </w:r>
      <w:r>
        <w:t xml:space="preserve">Hedonic</w:t>
      </w:r>
      <w:r>
        <w:t xml:space="preserve">”</w:t>
      </w:r>
      <w:r>
        <w:t xml:space="preserve"> </w:t>
      </w:r>
      <w:r>
        <w:t xml:space="preserve">regression models seek to decompose the price of a good based on the intrinsic and extrinsic components.</w:t>
      </w:r>
      <w:r>
        <w:t xml:space="preserve"> </w:t>
      </w:r>
      <w:r>
        <w:t xml:space="preserve">Koschinsky (2012)</w:t>
      </w:r>
      <w:r>
        <w:t xml:space="preserve"> </w:t>
      </w:r>
      <w:r>
        <w:t xml:space="preserve">is a recent and thorough discussion of parametric hedonic regression techniques. Koschinsky derives some of the variables included in his models from nearby properties, similar to the technique used in this paper, and he found these spatial variables to be predictive. The real estate hedonic model as defined by Koschinsky describes the price of a property as:</w:t>
      </w:r>
    </w:p>
    <w:p>
      <w:pPr>
        <w:pStyle w:val="BodyText"/>
      </w:pPr>
      <m:oMathPara>
        <m:oMathParaPr>
          <m:jc m:val="center"/>
        </m:oMathParaPr>
        <m:oMath>
          <m:m>
            <m:mPr>
              <m:baseJc m:val="center"/>
              <m:plcHide m:val="1"/>
              <m:mcs>
                <m:mc>
                  <m:mcPr>
                    <m:mcJc m:val="right"/>
                    <m:count m:val="1"/>
                  </m:mcPr>
                </m:mc>
              </m:mcs>
            </m:mPr>
            <m:mr>
              <m:e>
                <m:sSub>
                  <m:e>
                    <m:r>
                      <m:t>P</m:t>
                    </m:r>
                  </m:e>
                  <m:sub>
                    <m:r>
                      <m:t>i</m:t>
                    </m:r>
                  </m:sub>
                </m:sSub>
                <m:r>
                  <m:t>=</m:t>
                </m:r>
                <m:r>
                  <m:t>P</m:t>
                </m:r>
                <m:r>
                  <m:t>(</m:t>
                </m:r>
                <m:sSub>
                  <m:e>
                    <m:r>
                      <m:t>S</m:t>
                    </m:r>
                  </m:e>
                  <m:sub>
                    <m:r>
                      <m:t>i</m:t>
                    </m:r>
                  </m:sub>
                </m:sSub>
                <m:r>
                  <m:t>,</m:t>
                </m:r>
                <m:sSub>
                  <m:e>
                    <m:r>
                      <m:t>N</m:t>
                    </m:r>
                  </m:e>
                  <m:sub>
                    <m:r>
                      <m:t>i</m:t>
                    </m:r>
                  </m:sub>
                </m:sSub>
                <m:r>
                  <m:t>,</m:t>
                </m:r>
                <m:sSub>
                  <m:e>
                    <m:r>
                      <m:t>L</m:t>
                    </m:r>
                  </m:e>
                  <m:sub>
                    <m:r>
                      <m:t>i</m:t>
                    </m:r>
                  </m:sub>
                </m:sSub>
                <m:r>
                  <m:t>)</m:t>
                </m:r>
              </m:e>
            </m:mr>
          </m:m>
        </m:oMath>
      </m:oMathPara>
    </w:p>
    <w:p>
      <w:pPr>
        <w:pStyle w:val="FirstParagraph"/>
      </w:pPr>
      <w:r>
        <w:t xml:space="preserve">where</w:t>
      </w:r>
      <w:r>
        <w:t xml:space="preserve"> </w:t>
      </w:r>
      <m:oMath>
        <m:sSub>
          <m:e>
            <m:r>
              <m:t>P</m:t>
            </m:r>
          </m:e>
          <m:sub>
            <m:r>
              <m:t>i</m:t>
            </m:r>
          </m:sub>
        </m:sSub>
      </m:oMath>
      <w:r>
        <w:t xml:space="preserve"> </w:t>
      </w:r>
      <w:r>
        <w:t xml:space="preserve">represents the price of house</w:t>
      </w:r>
      <w:r>
        <w:t xml:space="preserve"> </w:t>
      </w:r>
      <m:oMath>
        <m:r>
          <m:t>i</m:t>
        </m:r>
      </m:oMath>
      <w:r>
        <w:t xml:space="preserve">, which is a composite good comprised of a vector of structural characteristics</w:t>
      </w:r>
      <w:r>
        <w:t xml:space="preserve"> </w:t>
      </w:r>
      <m:oMath>
        <m:r>
          <m:t>S</m:t>
        </m:r>
      </m:oMath>
      <w:r>
        <w:t xml:space="preserve">, a vector of social and neighborhood characteristics</w:t>
      </w:r>
      <w:r>
        <w:t xml:space="preserve"> </w:t>
      </w:r>
      <m:oMath>
        <m:r>
          <m:t>N</m:t>
        </m:r>
      </m:oMath>
      <w:r>
        <w:t xml:space="preserve">, and a vector of locational characteristics</w:t>
      </w:r>
      <w:r>
        <w:t xml:space="preserve"> </w:t>
      </w:r>
      <m:oMath>
        <m:r>
          <m:t>L</m:t>
        </m:r>
      </m:oMath>
      <w:r>
        <w:t xml:space="preserve">. Specifically, the model calculates spatial lags on properties of interest using neighboring properties within 1,000 feet of a sale. The derived variables include characteristics like average age, the number of poor condition homes, percent of homes with electric heating, construction grades, and more, within 1,000 feet of the property in question. Koschinsky found that in all cases,</w:t>
      </w:r>
      <w:r>
        <w:t xml:space="preserve"> </w:t>
      </w:r>
      <w:r>
        <w:t xml:space="preserve">“</w:t>
      </w:r>
      <w:r>
        <w:t xml:space="preserve">the relation between a home’s price and the average price of its neighboring homes is characterized by positive spatial autocorrelation</w:t>
      </w:r>
      <w:r>
        <w:t xml:space="preserve">”</w:t>
      </w:r>
      <w:r>
        <w:t xml:space="preserve"> </w:t>
      </w:r>
      <w:r>
        <w:t xml:space="preserve">meaning that homes near each other were typically similar to each other and priced accordingly. Koschinsky concluded that locational characteristics should be valued at least as much</w:t>
      </w:r>
      <w:r>
        <w:t xml:space="preserve"> </w:t>
      </w:r>
      <w:r>
        <w:t xml:space="preserve">“</w:t>
      </w:r>
      <w:r>
        <w:t xml:space="preserve">if not more</w:t>
      </w:r>
      <w:r>
        <w:t xml:space="preserve">”</w:t>
      </w:r>
      <w:r>
        <w:t xml:space="preserve"> </w:t>
      </w:r>
      <w:r>
        <w:t xml:space="preserve">than intrinsic structural characteristics.</w:t>
      </w:r>
    </w:p>
    <w:p>
      <w:pPr>
        <w:pStyle w:val="BodyText"/>
      </w:pPr>
      <w:r>
        <w:t xml:space="preserve">As recently as 2015, much research has dealt with mitigating the drawbacks of MRA, including the use of multi-level hierarchical models.</w:t>
      </w:r>
      <w:r>
        <w:t xml:space="preserve"> </w:t>
      </w:r>
      <w:r>
        <w:t xml:space="preserve">Fotheringham (2015)</w:t>
      </w:r>
      <w:r>
        <w:t xml:space="preserve"> </w:t>
      </w:r>
      <w:r>
        <w:t xml:space="preserve">explored the combination of Geographically Weighted Regression (GWR) with time-series forecasting to predict home prices over time. GWR is a variation on OLS that allows for</w:t>
      </w:r>
      <w:r>
        <w:t xml:space="preserve"> </w:t>
      </w:r>
      <w:r>
        <w:t xml:space="preserve">“</w:t>
      </w:r>
      <w:r>
        <w:t xml:space="preserve">adaptive bandwidths</w:t>
      </w:r>
      <w:r>
        <w:t xml:space="preserve">”</w:t>
      </w:r>
      <w:r>
        <w:t xml:space="preserve"> </w:t>
      </w:r>
      <w:r>
        <w:t xml:space="preserve">of local data to be included, i.e., for each estimate, the number of data points included varies and can be optimized using cross-validation.</w:t>
      </w:r>
    </w:p>
    <w:p>
      <w:pPr>
        <w:pStyle w:val="Heading2"/>
      </w:pPr>
      <w:bookmarkStart w:id="26" w:name="prediction-of-gentrification-using-machine-learning"/>
      <w:r>
        <w:t xml:space="preserve">Prediction of Gentrification Using Machine Learning</w:t>
      </w:r>
      <w:bookmarkEnd w:id="26"/>
    </w:p>
    <w:p>
      <w:pPr>
        <w:pStyle w:val="FirstParagraph"/>
      </w:pPr>
      <w:r>
        <w:t xml:space="preserve">Both Mass Appraisal techniques and Automated Valuation Modeling seek to predict real estate prices using data and statistical methods; however, traditional techniques typically fall short. These techniques fail partly because property valuation is inherently a</w:t>
      </w:r>
      <w:r>
        <w:t xml:space="preserve"> </w:t>
      </w:r>
      <w:r>
        <w:t xml:space="preserve">“</w:t>
      </w:r>
      <w:r>
        <w:t xml:space="preserve">chaotic</w:t>
      </w:r>
      <w:r>
        <w:t xml:space="preserve">”</w:t>
      </w:r>
      <w:r>
        <w:t xml:space="preserve"> </w:t>
      </w:r>
      <w:r>
        <w:t xml:space="preserve">process that</w:t>
      </w:r>
      <w:r>
        <w:t xml:space="preserve"> </w:t>
      </w:r>
      <w:r>
        <w:t xml:space="preserve">“</w:t>
      </w:r>
      <w:r>
        <w:t xml:space="preserve">does not lend itself to binary or linear analysis</w:t>
      </w:r>
      <w:r>
        <w:t xml:space="preserve">”</w:t>
      </w:r>
      <w:r>
        <w:t xml:space="preserve"> </w:t>
      </w:r>
      <w:r>
        <w:t xml:space="preserve">(Zuk 2015)</w:t>
      </w:r>
      <w:r>
        <w:t xml:space="preserve">. The value of any given property is a complex combination of fungible intrinsic characteristics, perceived value, and speculation. The value of any building or plot of land belongs to a rich network where decisions about and perceptions of neighboring properties influence the final market value.</w:t>
      </w:r>
      <w:r>
        <w:t xml:space="preserve"> </w:t>
      </w:r>
      <w:r>
        <w:t xml:space="preserve">Guan et al. (2014)</w:t>
      </w:r>
      <w:r>
        <w:t xml:space="preserve"> </w:t>
      </w:r>
      <w:r>
        <w:t xml:space="preserve">compared traditional MRA techniques to alternative</w:t>
      </w:r>
      <w:r>
        <w:t xml:space="preserve"> </w:t>
      </w:r>
      <w:r>
        <w:t xml:space="preserve">“</w:t>
      </w:r>
      <w:r>
        <w:t xml:space="preserve">data mining techniques</w:t>
      </w:r>
      <w:r>
        <w:t xml:space="preserve">”</w:t>
      </w:r>
      <w:r>
        <w:t xml:space="preserve"> </w:t>
      </w:r>
      <w:r>
        <w:t xml:space="preserve">resulting in</w:t>
      </w:r>
      <w:r>
        <w:t xml:space="preserve"> </w:t>
      </w:r>
      <w:r>
        <w:t xml:space="preserve">“</w:t>
      </w:r>
      <w:r>
        <w:t xml:space="preserve">mixed results.</w:t>
      </w:r>
      <w:r>
        <w:t xml:space="preserve">”</w:t>
      </w:r>
      <w:r>
        <w:t xml:space="preserve"> </w:t>
      </w:r>
      <w:r>
        <w:t xml:space="preserve">However, as</w:t>
      </w:r>
      <w:r>
        <w:t xml:space="preserve"> </w:t>
      </w:r>
      <w:r>
        <w:t xml:space="preserve">Helbich (2013)</w:t>
      </w:r>
      <w:r>
        <w:t xml:space="preserve"> </w:t>
      </w:r>
      <w:r>
        <w:t xml:space="preserve">states, hedonic pricing models</w:t>
      </w:r>
      <w:r>
        <w:t xml:space="preserve"> </w:t>
      </w:r>
      <w:r>
        <w:t xml:space="preserve">“</w:t>
      </w:r>
      <w:r>
        <w:t xml:space="preserve">can be improved in two ways: (a) Through novel estimation techniques, and (b) by ancillary structural, locational, and neighborhood variables on the basis of Geographic Information System.</w:t>
      </w:r>
      <w:r>
        <w:t xml:space="preserve">”</w:t>
      </w:r>
      <w:r>
        <w:t xml:space="preserve"> </w:t>
      </w:r>
      <w:r>
        <w:t xml:space="preserve">Recent research generally falls into these two buckets: better algorithms and better data.</w:t>
      </w:r>
    </w:p>
    <w:p>
      <w:pPr>
        <w:pStyle w:val="BodyText"/>
      </w:pPr>
      <w:r>
        <w:t xml:space="preserve">In the</w:t>
      </w:r>
      <w:r>
        <w:t xml:space="preserve"> </w:t>
      </w:r>
      <w:r>
        <w:t xml:space="preserve">“</w:t>
      </w:r>
      <w:r>
        <w:t xml:space="preserve">better data</w:t>
      </w:r>
      <w:r>
        <w:t xml:space="preserve">”</w:t>
      </w:r>
      <w:r>
        <w:t xml:space="preserve"> </w:t>
      </w:r>
      <w:r>
        <w:t xml:space="preserve">category, researchers have been striving to introduce new independent variables to increase the accuracy of predictive models.</w:t>
      </w:r>
      <w:r>
        <w:t xml:space="preserve"> </w:t>
      </w:r>
      <w:r>
        <w:t xml:space="preserve">Dietzell (2014)</w:t>
      </w:r>
      <w:r>
        <w:t xml:space="preserve"> </w:t>
      </w:r>
      <w:r>
        <w:t xml:space="preserve">successfully used internet search query data provided by Google Trends to serve as a sentiment indicator and improve commercial real estate forecasting models.</w:t>
      </w:r>
      <w:r>
        <w:t xml:space="preserve"> </w:t>
      </w:r>
      <w:r>
        <w:t xml:space="preserve">Pivo and Fisher (2011)</w:t>
      </w:r>
      <w:r>
        <w:t xml:space="preserve"> </w:t>
      </w:r>
      <w:r>
        <w:t xml:space="preserve">examined the effects of walkability on property values and investment returns. Pivo found that on a 100-point scale, a 10-point increase in walkability increased property investment values by up to 9%.</w:t>
      </w:r>
    </w:p>
    <w:p>
      <w:pPr>
        <w:pStyle w:val="BodyText"/>
      </w:pPr>
      <w:r>
        <w:t xml:space="preserve">Research into better prediction algorithms does not necessarily happen at the exclusion of</w:t>
      </w:r>
      <w:r>
        <w:t xml:space="preserve"> </w:t>
      </w:r>
      <w:r>
        <w:t xml:space="preserve">“</w:t>
      </w:r>
      <w:r>
        <w:t xml:space="preserve">better data.</w:t>
      </w:r>
      <w:r>
        <w:t xml:space="preserve">”</w:t>
      </w:r>
      <w:r>
        <w:t xml:space="preserve"> </w:t>
      </w:r>
      <w:r>
        <w:t xml:space="preserve">For example,</w:t>
      </w:r>
      <w:r>
        <w:t xml:space="preserve"> </w:t>
      </w:r>
      <w:r>
        <w:t xml:space="preserve">Fu (2014)</w:t>
      </w:r>
      <w:r>
        <w:t xml:space="preserve"> </w:t>
      </w:r>
      <w:r>
        <w:t xml:space="preserve">created a prediction algorithm, called</w:t>
      </w:r>
      <w:r>
        <w:t xml:space="preserve"> </w:t>
      </w:r>
      <w:r>
        <w:t xml:space="preserve">“</w:t>
      </w:r>
      <w:r>
        <w:t xml:space="preserve">ClusRanking,</w:t>
      </w:r>
      <w:r>
        <w:t xml:space="preserve">”</w:t>
      </w:r>
      <w:r>
        <w:t xml:space="preserve"> </w:t>
      </w:r>
      <w:r>
        <w:t xml:space="preserve">for real estate in Beijing, China. ClusRanking first estimates neighborhood characteristics using taxi cab traffic vector data, inlcuding relative access to</w:t>
      </w:r>
      <w:r>
        <w:t xml:space="preserve"> </w:t>
      </w:r>
      <w:r>
        <w:t xml:space="preserve">“</w:t>
      </w:r>
      <w:r>
        <w:t xml:space="preserve">business areas.</w:t>
      </w:r>
      <w:r>
        <w:t xml:space="preserve">”</w:t>
      </w:r>
      <w:r>
        <w:t xml:space="preserve"> </w:t>
      </w:r>
      <w:r>
        <w:t xml:space="preserve">Then, the algorithm performs a rank-ordered prediction of investment returns segmented into five categories. Similar to</w:t>
      </w:r>
      <w:r>
        <w:t xml:space="preserve"> </w:t>
      </w:r>
      <w:r>
        <w:t xml:space="preserve">Koschinsky (2012)</w:t>
      </w:r>
      <w:r>
        <w:t xml:space="preserve">, though less formally stated,</w:t>
      </w:r>
      <w:r>
        <w:t xml:space="preserve"> </w:t>
      </w:r>
      <w:r>
        <w:t xml:space="preserve">Fu (2014)</w:t>
      </w:r>
      <w:r>
        <w:t xml:space="preserve"> </w:t>
      </w:r>
      <w:r>
        <w:t xml:space="preserve">thought of a property’s value as a composite of individual, peer and zone characteristics. In their predictive modeling, Fu included characteristics of the neighborhood (individual), the values of nearby properties (peer), and the prosperity of the affiliated latent business area (zone) based on taxi cab data</w:t>
      </w:r>
      <w:r>
        <w:t xml:space="preserve"> </w:t>
      </w:r>
      <w:r>
        <w:t xml:space="preserve">(Fu 2014)</w:t>
      </w:r>
      <w:r>
        <w:t xml:space="preserve">.</w:t>
      </w:r>
    </w:p>
    <w:p>
      <w:pPr>
        <w:pStyle w:val="BodyText"/>
      </w:pPr>
      <w:r>
        <w:t xml:space="preserve">Several other recent studies compare various</w:t>
      </w:r>
      <w:r>
        <w:t xml:space="preserve"> </w:t>
      </w:r>
      <w:r>
        <w:t xml:space="preserve">“</w:t>
      </w:r>
      <w:r>
        <w:t xml:space="preserve">advanced</w:t>
      </w:r>
      <w:r>
        <w:t xml:space="preserve">”</w:t>
      </w:r>
      <w:r>
        <w:t xml:space="preserve"> </w:t>
      </w:r>
      <w:r>
        <w:t xml:space="preserve">statistical techniques and algorithms either to other advanced techniques or to traditional ones. Most studies conclude that the advanced, non-parametric techniques outperform traditional parametric techniques, while several conclude that the Random Forest algorithm is particularly well-suited to predicting real estate values.</w:t>
      </w:r>
    </w:p>
    <w:p>
      <w:pPr>
        <w:pStyle w:val="BodyText"/>
      </w:pPr>
      <w:r>
        <w:t xml:space="preserve">Kontrimasa (2011)</w:t>
      </w:r>
      <w:r>
        <w:t xml:space="preserve"> </w:t>
      </w:r>
      <w:r>
        <w:t xml:space="preserve">compares the accuracy of linear regression against the SVM technique and found the latter to outperform.</w:t>
      </w:r>
      <w:r>
        <w:t xml:space="preserve"> </w:t>
      </w:r>
      <w:r>
        <w:t xml:space="preserve">Schernthanner H. (2016)</w:t>
      </w:r>
      <w:r>
        <w:t xml:space="preserve"> </w:t>
      </w:r>
      <w:r>
        <w:t xml:space="preserve">compared traditional linear regression techniques to several techniques such as kriging (stochastic interpolation) and Random Forest. They concluded that the more advanced techniques, particularly Random Forest, are sound and more accurate when compared to traditional statistical methods.</w:t>
      </w:r>
      <w:r>
        <w:t xml:space="preserve"> </w:t>
      </w:r>
      <w:r>
        <w:t xml:space="preserve">Antipov and Pokryshevskaya (2012)</w:t>
      </w:r>
      <w:r>
        <w:t xml:space="preserve"> </w:t>
      </w:r>
      <w:r>
        <w:t xml:space="preserve">came to a similar conclusion about the superiority of Random Forest for real estate valuation after comparing 10 algorithms: multiple regression, CHAID, Exhaustive CHAID, CART, 2 types of k-Nearest Neighbors, Multilayer Perceptron artificial neural network, Radial Basis Function neural network, Boosted Trees and finally Random Forest.</w:t>
      </w:r>
    </w:p>
    <w:p>
      <w:pPr>
        <w:pStyle w:val="BodyText"/>
      </w:pPr>
      <w:r>
        <w:t xml:space="preserve">Guan et al. (2014)</w:t>
      </w:r>
      <w:r>
        <w:t xml:space="preserve"> </w:t>
      </w:r>
      <w:r>
        <w:t xml:space="preserve">compared three different approaches to defining spatial neighbors: a simple radius technique, a k-nearest neighbors technique using only distance and a k-nearest neighbors technique using all attributes. Interestingly, the location-only KNN models performed best, although by a slight margin.</w:t>
      </w:r>
      <w:r>
        <w:t xml:space="preserve"> </w:t>
      </w:r>
      <w:r>
        <w:t xml:space="preserve">Park (2015)</w:t>
      </w:r>
      <w:r>
        <w:t xml:space="preserve"> </w:t>
      </w:r>
      <w:r>
        <w:t xml:space="preserve">developed several housing-price prediction models based on machine learning algorithms including C4.5, RIPPER, Naive Bayesian, and AdaBoost, finding that the RIPPER algorithm consistently outperformed the other models.</w:t>
      </w:r>
      <w:r>
        <w:t xml:space="preserve"> </w:t>
      </w:r>
      <w:r>
        <w:t xml:space="preserve">Rafiei (2016)</w:t>
      </w:r>
      <w:r>
        <w:t xml:space="preserve"> </w:t>
      </w:r>
      <w:r>
        <w:t xml:space="preserve">employed a restricted Boltzmann machine (neural network with back propagation) to predict the sale price of residential condos in Tehran, Iran, using a non-mating genetic algorithm for dimensionality reduction with a focus on computational efficiency. The paper concludes that two primary strategies help in this regard: weighting property sales by temporal proximity (i.e., sales which happened closer in time are more alike), and also using a learner to accelerate the recognition of important features. The paper compares this technique to several other common neural network approaches and finds that while not necessarily the only way to get the best answer, it is an efficient and fast way to get to the best answer.</w:t>
      </w:r>
    </w:p>
    <w:p>
      <w:pPr>
        <w:pStyle w:val="BodyText"/>
      </w:pPr>
      <w:r>
        <w:t xml:space="preserve">Finally, we note that many studies, whether exploring advanced techniques, new data, or both, rely on aggregation of data by some arbitrary boundary. For example,</w:t>
      </w:r>
      <w:r>
        <w:t xml:space="preserve"> </w:t>
      </w:r>
      <w:r>
        <w:t xml:space="preserve">Turner and Snow (2001)</w:t>
      </w:r>
      <w:r>
        <w:t xml:space="preserve"> </w:t>
      </w:r>
      <w:r>
        <w:t xml:space="preserve">predicted gentrification in the Washington, D.C. metro area by ranking census tracts in terms of development.</w:t>
      </w:r>
      <w:r>
        <w:t xml:space="preserve"> </w:t>
      </w:r>
      <w:r>
        <w:t xml:space="preserve">Chapple (2009)</w:t>
      </w:r>
      <w:r>
        <w:t xml:space="preserve"> </w:t>
      </w:r>
      <w:r>
        <w:t xml:space="preserve">created a gentrification</w:t>
      </w:r>
      <w:r>
        <w:t xml:space="preserve"> </w:t>
      </w:r>
      <w:r>
        <w:t xml:space="preserve">“</w:t>
      </w:r>
      <w:r>
        <w:t xml:space="preserve">early warning system</w:t>
      </w:r>
      <w:r>
        <w:t xml:space="preserve">”</w:t>
      </w:r>
      <w:r>
        <w:t xml:space="preserve"> </w:t>
      </w:r>
      <w:r>
        <w:t xml:space="preserve">by identifying low-income census tracts in central city locations.</w:t>
      </w:r>
      <w:r>
        <w:t xml:space="preserve"> </w:t>
      </w:r>
      <w:r>
        <w:t xml:space="preserve">Barry Bluestone &amp; Chase Billingham (2010)</w:t>
      </w:r>
      <w:r>
        <w:t xml:space="preserve"> </w:t>
      </w:r>
      <w:r>
        <w:t xml:space="preserve">analyzed 42 census block groups near rail stations in 12 metro areas across the United States, studying changes between 1990 and 2000 for neighborhood socioeconomic and housing characteristics. All of these studies, and many more, relied on the aggregation of data at the census-tract or census-block level. In contrast, this paper compares boundary-aggregation techniques (specifically, aggregating by Zip Codes) to spatial lag techniques and finds the spatial lag techniques to generally outperform.</w:t>
      </w:r>
    </w:p>
    <w:p>
      <w:pPr>
        <w:pStyle w:val="Heading1"/>
      </w:pPr>
      <w:bookmarkStart w:id="27" w:name="data-and-methodology"/>
      <w:r>
        <w:t xml:space="preserve">Data and Methodology</w:t>
      </w:r>
      <w:bookmarkEnd w:id="27"/>
    </w:p>
    <w:p>
      <w:pPr>
        <w:pStyle w:val="Heading2"/>
      </w:pPr>
      <w:bookmarkStart w:id="28" w:name="methodology-overview"/>
      <w:r>
        <w:t xml:space="preserve">Methodology Overview</w:t>
      </w:r>
      <w:bookmarkEnd w:id="28"/>
    </w:p>
    <w:p>
      <w:pPr>
        <w:pStyle w:val="FirstParagraph"/>
      </w:pPr>
      <w:r>
        <w:t xml:space="preserve">Our goal was to compare</w:t>
      </w:r>
      <w:r>
        <w:t xml:space="preserve"> </w:t>
      </w:r>
      <w:r>
        <w:t xml:space="preserve">“</w:t>
      </w:r>
      <w:r>
        <w:t xml:space="preserve">spatially-conscious</w:t>
      </w:r>
      <w:r>
        <w:t xml:space="preserve">”</w:t>
      </w:r>
      <w:r>
        <w:t xml:space="preserve"> </w:t>
      </w:r>
      <w:r>
        <w:t xml:space="preserve">machine learning predictive models to traditional feature engineering techniques. To accomplish this comparison, we created three separate modeling datasets:</w:t>
      </w:r>
    </w:p>
    <w:p>
      <w:pPr>
        <w:pStyle w:val="Compact"/>
        <w:numPr>
          <w:numId w:val="1001"/>
          <w:ilvl w:val="0"/>
        </w:numPr>
      </w:pPr>
      <w:r>
        <w:rPr>
          <w:b/>
        </w:rPr>
        <w:t xml:space="preserve">Base modeling data:</w:t>
      </w:r>
      <w:r>
        <w:t xml:space="preserve"> </w:t>
      </w:r>
      <w:r>
        <w:t xml:space="preserve">includes building characteristics such as size, taxable value, usage, and others</w:t>
      </w:r>
    </w:p>
    <w:p>
      <w:pPr>
        <w:pStyle w:val="Compact"/>
        <w:numPr>
          <w:numId w:val="1001"/>
          <w:ilvl w:val="0"/>
        </w:numPr>
      </w:pPr>
      <w:r>
        <w:rPr>
          <w:b/>
        </w:rPr>
        <w:t xml:space="preserve">Zip Code modeling data:</w:t>
      </w:r>
      <w:r>
        <w:t xml:space="preserve"> </w:t>
      </w:r>
      <w:r>
        <w:t xml:space="preserve">includes the base data as well as aggregations of data at the zip-code level</w:t>
      </w:r>
    </w:p>
    <w:p>
      <w:pPr>
        <w:pStyle w:val="Compact"/>
        <w:numPr>
          <w:numId w:val="1001"/>
          <w:ilvl w:val="0"/>
        </w:numPr>
      </w:pPr>
      <w:r>
        <w:rPr>
          <w:b/>
        </w:rPr>
        <w:t xml:space="preserve">Spatial Lag modeling data:</w:t>
      </w:r>
      <w:r>
        <w:t xml:space="preserve"> </w:t>
      </w:r>
      <w:r>
        <w:t xml:space="preserve">includes the base data as well as aggregations of data within 500-meters of each building</w:t>
      </w:r>
    </w:p>
    <w:p>
      <w:pPr>
        <w:pStyle w:val="FirstParagraph"/>
      </w:pPr>
      <w:r>
        <w:t xml:space="preserve">The second and third modeling datasets are incremental variations of the first, using competing feature engineering techniques to extract additional predictive power from the data. We combined three open-source data repositories provided by New York City via</w:t>
      </w:r>
      <w:r>
        <w:t xml:space="preserve"> </w:t>
      </w:r>
      <w:hyperlink r:id="rId29">
        <w:r>
          <w:rPr>
            <w:rStyle w:val="Hyperlink"/>
          </w:rPr>
          <w:t xml:space="preserve">nyc.gov</w:t>
        </w:r>
      </w:hyperlink>
      <w:r>
        <w:t xml:space="preserve"> </w:t>
      </w:r>
      <w:r>
        <w:t xml:space="preserve">and</w:t>
      </w:r>
      <w:r>
        <w:t xml:space="preserve"> </w:t>
      </w:r>
      <w:hyperlink r:id="rId30">
        <w:r>
          <w:rPr>
            <w:rStyle w:val="Hyperlink"/>
          </w:rPr>
          <w:t xml:space="preserve">data.cityofnewyork.us</w:t>
        </w:r>
      </w:hyperlink>
      <w:r>
        <w:t xml:space="preserve">. Our base modeling dataset included all building records and associated sales information from 2003-2017. For each of the three modeling datasets, we also compared two predictive modeling tasks, using a different dependent variable for each:</w:t>
      </w:r>
    </w:p>
    <w:p>
      <w:pPr>
        <w:pStyle w:val="Compact"/>
        <w:numPr>
          <w:numId w:val="1002"/>
          <w:ilvl w:val="0"/>
        </w:numPr>
      </w:pPr>
      <w:r>
        <w:rPr>
          <w:b/>
        </w:rPr>
        <w:t xml:space="preserve">Classification task: Probability of Sale</w:t>
      </w:r>
      <w:r>
        <w:t xml:space="preserve"> </w:t>
      </w:r>
      <w:r>
        <w:t xml:space="preserve">The probability that a given property will sell in a given year (0,1)</w:t>
      </w:r>
    </w:p>
    <w:p>
      <w:pPr>
        <w:pStyle w:val="Compact"/>
        <w:numPr>
          <w:numId w:val="1002"/>
          <w:ilvl w:val="0"/>
        </w:numPr>
      </w:pPr>
      <w:r>
        <w:rPr>
          <w:b/>
        </w:rPr>
        <w:t xml:space="preserve">Regression task: Sale Price per square foot</w:t>
      </w:r>
      <w:r>
        <w:t xml:space="preserve"> </w:t>
      </w:r>
      <w:r>
        <w:t xml:space="preserve">Given that a property sells, how much is the sale price per square foot? ($/SF)</w:t>
      </w:r>
    </w:p>
    <w:p>
      <w:pPr>
        <w:pStyle w:val="FirstParagraph"/>
      </w:pPr>
      <w:r>
        <w:t xml:space="preserve">Table</w:t>
      </w:r>
      <w:r>
        <w:t xml:space="preserve"> </w:t>
      </w:r>
      <w:r>
        <w:t xml:space="preserve"> </w:t>
      </w:r>
      <w:r>
        <w:t xml:space="preserve">shows the six distinct modeling task/data combinations.</w:t>
      </w:r>
    </w:p>
    <w:p>
      <w:pPr>
        <w:pStyle w:val="BodyText"/>
      </w:pPr>
      <w:r>
        <w:t xml:space="preserve">We conducted our analysis in a two-stage process. In Stage 1, we used the Random Forest algorithm to evaluate the suitability of the data for our feature engineering assumptions. In Stage 2, we created subsets of the modeling data based on the analysis conducted in Stage 1. We then compared the performance of different algorithms across all modeling datasets and prediction tasks. The following is an outline of our complete analysis process:</w:t>
      </w:r>
    </w:p>
    <w:p>
      <w:pPr>
        <w:pStyle w:val="BodyText"/>
      </w:pPr>
    </w:p>
    <w:p>
      <w:pPr>
        <w:pStyle w:val="Compact"/>
        <w:numPr>
          <w:numId w:val="1003"/>
          <w:ilvl w:val="0"/>
        </w:numPr>
      </w:pPr>
      <w:r>
        <w:t xml:space="preserve">Create a</w:t>
      </w:r>
      <w:r>
        <w:t xml:space="preserve"> </w:t>
      </w:r>
      <w:r>
        <w:t xml:space="preserve">“</w:t>
      </w:r>
      <w:r>
        <w:t xml:space="preserve">base</w:t>
      </w:r>
      <w:r>
        <w:t xml:space="preserve">”</w:t>
      </w:r>
      <w:r>
        <w:t xml:space="preserve"> </w:t>
      </w:r>
      <w:r>
        <w:t xml:space="preserve">modeling dataset by sourcing and combining building characteristic and sales data from open-source New York City repositories</w:t>
      </w:r>
    </w:p>
    <w:p>
      <w:pPr>
        <w:pStyle w:val="Compact"/>
        <w:numPr>
          <w:numId w:val="1003"/>
          <w:ilvl w:val="0"/>
        </w:numPr>
      </w:pPr>
      <w:r>
        <w:t xml:space="preserve">Create a</w:t>
      </w:r>
      <w:r>
        <w:t xml:space="preserve"> </w:t>
      </w:r>
      <w:r>
        <w:t xml:space="preserve">“</w:t>
      </w:r>
      <w:r>
        <w:t xml:space="preserve">zip</w:t>
      </w:r>
      <w:r>
        <w:t xml:space="preserve">”</w:t>
      </w:r>
      <w:r>
        <w:t xml:space="preserve"> </w:t>
      </w:r>
      <w:r>
        <w:t xml:space="preserve">modeling dataset by aggregating the base data at a Zip-Code level and appending these features to the base data</w:t>
      </w:r>
    </w:p>
    <w:p>
      <w:pPr>
        <w:pStyle w:val="Compact"/>
        <w:numPr>
          <w:numId w:val="1003"/>
          <w:ilvl w:val="0"/>
        </w:numPr>
      </w:pPr>
      <w:r>
        <w:t xml:space="preserve">Create a</w:t>
      </w:r>
      <w:r>
        <w:t xml:space="preserve"> </w:t>
      </w:r>
      <w:r>
        <w:t xml:space="preserve">“</w:t>
      </w:r>
      <w:r>
        <w:t xml:space="preserve">spatial lag</w:t>
      </w:r>
      <w:r>
        <w:t xml:space="preserve">”</w:t>
      </w:r>
      <w:r>
        <w:t xml:space="preserve"> </w:t>
      </w:r>
      <w:r>
        <w:t xml:space="preserve">modeling dataset by aggregating the base data within 500 meters of each building and appending these features to the base data</w:t>
      </w:r>
    </w:p>
    <w:p>
      <w:pPr>
        <w:pStyle w:val="Compact"/>
        <w:numPr>
          <w:numId w:val="1003"/>
          <w:ilvl w:val="0"/>
        </w:numPr>
      </w:pPr>
      <w:r>
        <w:t xml:space="preserve">Train a Random Forest model on all three datasets, for both classification (probability of sale) and regression (sale price) tasks</w:t>
      </w:r>
    </w:p>
    <w:p>
      <w:pPr>
        <w:pStyle w:val="Compact"/>
        <w:numPr>
          <w:numId w:val="1003"/>
          <w:ilvl w:val="0"/>
        </w:numPr>
      </w:pPr>
      <w:r>
        <w:t xml:space="preserve">Evaluate the performance of the various Random Forest models on hold-out test data</w:t>
      </w:r>
    </w:p>
    <w:p>
      <w:pPr>
        <w:pStyle w:val="Compact"/>
        <w:numPr>
          <w:numId w:val="1003"/>
          <w:ilvl w:val="0"/>
        </w:numPr>
      </w:pPr>
      <w:r>
        <w:t xml:space="preserve">Analyze the prediction results by building type and geography, identifying those buildings for which our feature-engineering assumptions (e.g., 500-meter radii spatial lags) are most appropriate</w:t>
      </w:r>
    </w:p>
    <w:p>
      <w:pPr>
        <w:pStyle w:val="FirstParagraph"/>
      </w:pPr>
    </w:p>
    <w:p>
      <w:pPr>
        <w:pStyle w:val="Compact"/>
        <w:numPr>
          <w:numId w:val="1004"/>
          <w:ilvl w:val="0"/>
        </w:numPr>
      </w:pPr>
      <w:r>
        <w:t xml:space="preserve">Create subsets of the modeling data based on analysis conducted in Stage 1</w:t>
      </w:r>
    </w:p>
    <w:p>
      <w:pPr>
        <w:pStyle w:val="Compact"/>
        <w:numPr>
          <w:numId w:val="1004"/>
          <w:ilvl w:val="0"/>
        </w:numPr>
      </w:pPr>
      <w:r>
        <w:t xml:space="preserve">Train machine learning models on the refined modeling datasets using several algorithms, for both classification and regression tasks</w:t>
      </w:r>
    </w:p>
    <w:p>
      <w:pPr>
        <w:pStyle w:val="Compact"/>
        <w:numPr>
          <w:numId w:val="1004"/>
          <w:ilvl w:val="0"/>
        </w:numPr>
      </w:pPr>
      <w:r>
        <w:t xml:space="preserve">Evaluate the performance of the various models on hold-out test data</w:t>
      </w:r>
    </w:p>
    <w:p>
      <w:pPr>
        <w:pStyle w:val="Compact"/>
        <w:numPr>
          <w:numId w:val="1004"/>
          <w:ilvl w:val="0"/>
        </w:numPr>
      </w:pPr>
      <w:r>
        <w:t xml:space="preserve">Analyze the prediction results of the various algorithm/data/task combinations</w:t>
      </w:r>
    </w:p>
    <w:p>
      <w:pPr>
        <w:pStyle w:val="Heading2"/>
      </w:pPr>
      <w:bookmarkStart w:id="31" w:name="data"/>
      <w:r>
        <w:t xml:space="preserve">Data</w:t>
      </w:r>
      <w:bookmarkEnd w:id="31"/>
    </w:p>
    <w:p>
      <w:pPr>
        <w:pStyle w:val="Heading3"/>
      </w:pPr>
      <w:bookmarkStart w:id="32" w:name="data-sources"/>
      <w:r>
        <w:t xml:space="preserve">Data Sources</w:t>
      </w:r>
      <w:bookmarkEnd w:id="32"/>
    </w:p>
    <w:p>
      <w:pPr>
        <w:pStyle w:val="FirstParagraph"/>
      </w:pPr>
      <w:r>
        <w:t xml:space="preserve">The New York City government makes available an annual dataset which describes all tax lots in the five boroughs. The Primary Land Use and Tax Lot Output dataset, known as</w:t>
      </w:r>
      <w:r>
        <w:t xml:space="preserve"> </w:t>
      </w:r>
      <w:hyperlink r:id="rId33">
        <w:r>
          <w:rPr>
            <w:rStyle w:val="Hyperlink"/>
          </w:rPr>
          <w:t xml:space="preserve">PLUTO</w:t>
        </w:r>
      </w:hyperlink>
      <w:r>
        <w:rPr>
          <w:rStyle w:val="FootnoteReference"/>
        </w:rPr>
        <w:footnoteReference w:id="34"/>
      </w:r>
      <w:r>
        <w:t xml:space="preserve">, contains a single record for every tax lot in the city along with a number of building-related and tax-related attributes such as Year Built, Assessed Value, Square Footage, number of stories, and many more. At the time of this writing, NYC had made this dataset available for all years between 2002-2017, excluding 2008. For convenience, we also exclude the 2002 dataset from our analysis because corresponding sales information is not available for that year. Importantly for our analysis, the latitude and longitude of the tax lots are also made available, allowing us to locate in space each building and to build geospatial features from the data.</w:t>
      </w:r>
    </w:p>
    <w:p>
      <w:pPr>
        <w:pStyle w:val="BodyText"/>
      </w:pPr>
      <w:r>
        <w:t xml:space="preserve">Ultimately, we were interested in both the occurrence and the amount of real estate sales transactions. Sales transactions are made available separately by the New York City government, known as the</w:t>
      </w:r>
      <w:r>
        <w:t xml:space="preserve"> </w:t>
      </w:r>
      <w:hyperlink r:id="rId35">
        <w:r>
          <w:rPr>
            <w:rStyle w:val="Hyperlink"/>
          </w:rPr>
          <w:t xml:space="preserve">NYC Rolling Sales Data</w:t>
        </w:r>
      </w:hyperlink>
      <w:r>
        <w:rPr>
          <w:rStyle w:val="FootnoteReference"/>
        </w:rPr>
        <w:footnoteReference w:id="36"/>
      </w:r>
      <w:r>
        <w:t xml:space="preserve">. At the time of this writing, sales transactions were available for the years 2003-2017. The sales transactions data contains additional data fields describing time, place, and amount of sale as well as additional building characteristics. Crucially, the sales transaction data does not include geographical coordinates, making it impossible to perform geospatial analysis without first mapping the sales data to PLUTO.</w:t>
      </w:r>
    </w:p>
    <w:p>
      <w:pPr>
        <w:pStyle w:val="BodyText"/>
      </w:pPr>
      <w:r>
        <w:t xml:space="preserve">Prior to mapping to PLUTO, we first had to transform the sales data to include the proper mapping key. New York City uses a standard key of Borough-Block-Lot to identify tax lots in the data. For example, 31 West 27th Street is located in Manhattan, on block 829 and lot 16, therefore, its Borough-Block-Lot (BBL) is 1_829_16 (the 1 represents Manhattan). The sales data contains BBL’s at the building level, however, the sales transactions data does not appropriately designate condos as their own BBL’s. Mapping the sales data directly to the PLUTO data results in a mapping error rate of 23.1% (mainly due to condos). Therefore, the sales transactions data must first be mapped to another data source, the NYC Property Address Directory, or</w:t>
      </w:r>
      <w:r>
        <w:t xml:space="preserve"> </w:t>
      </w:r>
      <w:hyperlink r:id="rId37">
        <w:r>
          <w:rPr>
            <w:rStyle w:val="Hyperlink"/>
          </w:rPr>
          <w:t xml:space="preserve">PAD</w:t>
        </w:r>
      </w:hyperlink>
      <w:r>
        <w:rPr>
          <w:rStyle w:val="FootnoteReference"/>
        </w:rPr>
        <w:footnoteReference w:id="38"/>
      </w:r>
      <w:r>
        <w:t xml:space="preserve">, which contains an exhaustive list of all BBL’s in NYC. After combining the sales data with PAD, the data can then be mapped to PLUTO with an error rate of 0.291% (See: Figure</w:t>
      </w:r>
      <w:r>
        <w:t xml:space="preserve"> </w:t>
      </w:r>
      <w:r>
        <w:t xml:space="preserve">).</w:t>
      </w:r>
    </w:p>
    <w:p>
      <w:pPr>
        <w:pStyle w:val="CaptionedFigure"/>
      </w:pPr>
      <w:r>
        <w:drawing>
          <wp:inline>
            <wp:extent cx="5334000" cy="1725641"/>
            <wp:effectExtent b="0" l="0" r="0" t="0"/>
            <wp:docPr descr="Overview of Data Sources" title="" id="1" name="Picture"/>
            <a:graphic>
              <a:graphicData uri="http://schemas.openxmlformats.org/drawingml/2006/picture">
                <pic:pic>
                  <pic:nvPicPr>
                    <pic:cNvPr descr="Sections/tables%20and%20figures/Data%20Schema.png" id="0" name="Picture"/>
                    <pic:cNvPicPr>
                      <a:picLocks noChangeArrowheads="1" noChangeAspect="1"/>
                    </pic:cNvPicPr>
                  </pic:nvPicPr>
                  <pic:blipFill>
                    <a:blip r:embed="rId39"/>
                    <a:stretch>
                      <a:fillRect/>
                    </a:stretch>
                  </pic:blipFill>
                  <pic:spPr bwMode="auto">
                    <a:xfrm>
                      <a:off x="0" y="0"/>
                      <a:ext cx="5334000" cy="1725641"/>
                    </a:xfrm>
                    <a:prstGeom prst="rect">
                      <a:avLst/>
                    </a:prstGeom>
                    <a:noFill/>
                    <a:ln w="9525">
                      <a:noFill/>
                      <a:headEnd/>
                      <a:tailEnd/>
                    </a:ln>
                  </pic:spPr>
                </pic:pic>
              </a:graphicData>
            </a:graphic>
          </wp:inline>
        </w:drawing>
      </w:r>
    </w:p>
    <w:p>
      <w:pPr>
        <w:pStyle w:val="ImageCaption"/>
      </w:pPr>
      <w:r>
        <w:t xml:space="preserve">Overview of Data Sources</w:t>
      </w:r>
    </w:p>
    <w:p>
      <w:pPr>
        <w:pStyle w:val="BodyText"/>
      </w:pPr>
      <w:r>
        <w:t xml:space="preserve">After combining the Sales Transactions data with PAD and PLUTO, the resulting data were filtered so that only BBL’s with less than or equal to 1 transactions in a year occur. The final dataset is an exhaustive list of all tax lots in NYC for every year between 2003-2017, whether that building was sold, for what amount, and several other additional variables. A description of all variables can be seen in Table</w:t>
      </w:r>
      <w:r>
        <w:t xml:space="preserve"> </w:t>
      </w:r>
      <w:r>
        <w:t xml:space="preserve">.</w:t>
      </w:r>
    </w:p>
    <w:p>
      <w:pPr>
        <w:pStyle w:val="Heading3"/>
      </w:pPr>
      <w:bookmarkStart w:id="40" w:name="global-filtering-of-the-data"/>
      <w:r>
        <w:t xml:space="preserve">Global filtering of the data</w:t>
      </w:r>
      <w:bookmarkEnd w:id="40"/>
    </w:p>
    <w:p>
      <w:pPr>
        <w:pStyle w:val="FirstParagraph"/>
      </w:pPr>
      <w:r>
        <w:t xml:space="preserve">We only included building categories of significant interest in our initial modeling data. Generally speaking, by significant interest we are referring to building types that are regularly bought and sold on the free market. These include residences, office buildings and industrial buildings, and exclude things like government-owned buildings and hospitals. We also excluded hotels as they tend to be comparatively rare in the data and exhibit unique sales characteristics. The included building types are displayed in Table</w:t>
      </w:r>
      <w:r>
        <w:t xml:space="preserve"> </w:t>
      </w:r>
      <w:r>
        <w:t xml:space="preserve">.</w:t>
      </w:r>
    </w:p>
    <w:p>
      <w:pPr>
        <w:pStyle w:val="BodyText"/>
      </w:pPr>
      <w:r>
        <w:t xml:space="preserve">The data were further filtered to include only records with equal to or less than 2 buildings per tax lot, effectively excluding large outliers in the data such as the World Trade Center and Stuyvesant Town. The global filtering of the dataset reduces the base modeling data from 12,012,780 records down to 8,247,499, retaining 68.6%% of the original data.</w:t>
      </w:r>
    </w:p>
    <w:p>
      <w:pPr>
        <w:pStyle w:val="Heading3"/>
      </w:pPr>
      <w:bookmarkStart w:id="41" w:name="exploratory-data-analysis"/>
      <w:r>
        <w:t xml:space="preserve">Exploratory Data Analysis</w:t>
      </w:r>
      <w:bookmarkEnd w:id="41"/>
    </w:p>
    <w:p>
      <w:pPr>
        <w:pStyle w:val="FirstParagraph"/>
      </w:pPr>
      <w:r>
        <w:t xml:space="preserve">The data contain building and sale records across the five boroughs of New York City for the years 2003-2017. One challenge with creating a predictive model of real estate sales data is the heterogeneity within the data in terms of frequency of sales and sale price. These two metrics (sale occurrence and amount) vary meaningfully across year, borough and building classes (among other attributes). Table</w:t>
      </w:r>
      <w:r>
        <w:t xml:space="preserve"> </w:t>
      </w:r>
      <w:r>
        <w:t xml:space="preserve"> </w:t>
      </w:r>
      <w:r>
        <w:t xml:space="preserve">displays statistics which describe the base dataset (pre-filtered) by year. Note how the frequency of transactions (# of Sales) and the sale amount (Median Sale $/SF) tend to covary, particularly through the downturn of 2009-2012. This covariance may be due to the fact that the relative size of transactions tends to decrease as capital becomes more constrained.</w:t>
      </w:r>
    </w:p>
    <w:p>
      <w:pPr>
        <w:pStyle w:val="BodyText"/>
      </w:pPr>
      <w:r>
        <w:t xml:space="preserve">We observe similar variances across asset types. Table</w:t>
      </w:r>
      <w:r>
        <w:t xml:space="preserve"> </w:t>
      </w:r>
      <w:r>
        <w:t xml:space="preserve"> </w:t>
      </w:r>
      <w:r>
        <w:t xml:space="preserve">shows all buildings classes in the 2003-2017 period. Unsurprisingly, residences tend to have the highest volume of sales while offices tend to have the highest sale prices.</w:t>
      </w:r>
    </w:p>
    <w:p>
      <w:pPr>
        <w:pStyle w:val="BodyText"/>
      </w:pPr>
      <w:r>
        <w:t xml:space="preserve">Sale price per square foot, in particular, varies considerably across geography and asset class. Table</w:t>
      </w:r>
      <w:r>
        <w:t xml:space="preserve"> </w:t>
      </w:r>
      <w:r>
        <w:t xml:space="preserve"> </w:t>
      </w:r>
      <w:r>
        <w:t xml:space="preserve">shows the breakdown of sales prices by borough and asset class. Manhattan tends to command the highest sale-price-per-square-foot across asset types.</w:t>
      </w:r>
      <w:r>
        <w:t xml:space="preserve"> </w:t>
      </w:r>
      <w:r>
        <w:t xml:space="preserve">“</w:t>
      </w:r>
      <w:r>
        <w:t xml:space="preserve">Commercial</w:t>
      </w:r>
      <w:r>
        <w:t xml:space="preserve">”</w:t>
      </w:r>
      <w:r>
        <w:t xml:space="preserve"> </w:t>
      </w:r>
      <w:r>
        <w:t xml:space="preserve">asset types such as Office and Elevator Apartments tend to fetch much lower price-per-square foot than do residential classes such as one and two-family dwellings. Table</w:t>
      </w:r>
      <w:r>
        <w:t xml:space="preserve"> </w:t>
      </w:r>
      <w:r>
        <w:t xml:space="preserve"> </w:t>
      </w:r>
      <w:r>
        <w:t xml:space="preserve">shows the number of transactions across the same dimensions.</w:t>
      </w:r>
    </w:p>
    <w:p>
      <w:pPr>
        <w:pStyle w:val="Heading2"/>
      </w:pPr>
      <w:bookmarkStart w:id="42" w:name="feature-engineering"/>
      <w:r>
        <w:t xml:space="preserve">Feature Engineering</w:t>
      </w:r>
      <w:bookmarkEnd w:id="42"/>
    </w:p>
    <w:p>
      <w:pPr>
        <w:pStyle w:val="Heading3"/>
      </w:pPr>
      <w:bookmarkStart w:id="43" w:name="base-modeling-data"/>
      <w:r>
        <w:t xml:space="preserve">Base Modeling Data</w:t>
      </w:r>
      <w:bookmarkEnd w:id="43"/>
    </w:p>
    <w:p>
      <w:pPr>
        <w:pStyle w:val="FirstParagraph"/>
      </w:pPr>
      <w:r>
        <w:t xml:space="preserve">The base modeling dataset was constructed by combining several open-source data repositories, outlined in the Data Sources section. In addition to the data provided by New York City, several additional features were engineered and appended to the base data. A summary table of the additional features is presented in Table</w:t>
      </w:r>
      <w:r>
        <w:t xml:space="preserve"> </w:t>
      </w:r>
      <w:r>
        <w:t xml:space="preserve">. A binary variable was created to indicate whether a tax lot had a building on it (i.e., whether it was an empty plot of land). In addition, building types were quantified by what percent of their square footage belonged to the major property types: Commercial, Residential, Office, Retail, Garage, Storage, Factory and Other.</w:t>
      </w:r>
    </w:p>
    <w:p>
      <w:pPr>
        <w:pStyle w:val="BodyText"/>
      </w:pPr>
      <w:r>
        <w:t xml:space="preserve">Importantly, two variables were created from the Sale Prices: A price-per-square-foot-figure (</w:t>
      </w:r>
      <w:r>
        <w:t xml:space="preserve">“</w:t>
      </w:r>
      <w:r>
        <w:t xml:space="preserve">Sale_Price</w:t>
      </w:r>
      <w:r>
        <w:t xml:space="preserve">”</w:t>
      </w:r>
      <w:r>
        <w:t xml:space="preserve">) and a total Sale Price (</w:t>
      </w:r>
      <w:r>
        <w:t xml:space="preserve">“</w:t>
      </w:r>
      <w:r>
        <w:t xml:space="preserve">Sale_Price_Total</w:t>
      </w:r>
      <w:r>
        <w:t xml:space="preserve">”</w:t>
      </w:r>
      <w:r>
        <w:t xml:space="preserve">). Sale Price per square foot eventually became the outcome variable in one of the predictive models. We then create a feature to carry forward the previous sale price of a tax lot, if there was one, through successive years. Previous Sale Price was then used to create Simple Moving Averages (SMA), Exponential Moving Averages (EMA), and percent change measurements between the moving averages. In total, 69 variables were input to the feature engineering process and 92 variables were output. The final base modeling dataset was 92 variables by 8,247,499 rows.</w:t>
      </w:r>
    </w:p>
    <w:p>
      <w:pPr>
        <w:pStyle w:val="Heading3"/>
      </w:pPr>
      <w:bookmarkStart w:id="44" w:name="zip-code-modeling-data"/>
      <w:r>
        <w:t xml:space="preserve">Zip Code Modeling Data</w:t>
      </w:r>
      <w:bookmarkEnd w:id="44"/>
    </w:p>
    <w:p>
      <w:pPr>
        <w:pStyle w:val="FirstParagraph"/>
      </w:pPr>
      <w:r>
        <w:t xml:space="preserve">The first of the two comparative modeling datasets was the Zip Code modeling data. Using the base data as a starting point, several features were generated to describe characteristics of the Zip Code where each tax lot resides. A summary table of the Zip Code level features is presented in</w:t>
      </w:r>
      <w:r>
        <w:t xml:space="preserve"> </w:t>
      </w:r>
      <w:r>
        <w:t xml:space="preserve">.</w:t>
      </w:r>
    </w:p>
    <w:p>
      <w:pPr>
        <w:pStyle w:val="BodyText"/>
      </w:pPr>
      <w:r>
        <w:t xml:space="preserve">In general, the base model data features were aggregated to a Zip Code level and appended, including the SMA, EMA and percent change calculations. Additionally, a second set of features were added, denoted as</w:t>
      </w:r>
      <w:r>
        <w:t xml:space="preserve"> </w:t>
      </w:r>
      <w:r>
        <w:t xml:space="preserve">“</w:t>
      </w:r>
      <w:r>
        <w:t xml:space="preserve">bt_only</w:t>
      </w:r>
      <w:r>
        <w:t xml:space="preserve">”</w:t>
      </w:r>
      <w:r>
        <w:t xml:space="preserve">, which aggregated the data in a similar fashion but only included tax lots of the same building type in the calculations. In total, the Zip Code feature engineering process input 92 variables and output 122 variables.</w:t>
      </w:r>
    </w:p>
    <w:p>
      <w:pPr>
        <w:pStyle w:val="Heading3"/>
      </w:pPr>
      <w:bookmarkStart w:id="45" w:name="spatial-lag-modeling-data"/>
      <w:r>
        <w:t xml:space="preserve">Spatial Lag Modeling Data</w:t>
      </w:r>
      <w:bookmarkEnd w:id="45"/>
    </w:p>
    <w:p>
      <w:pPr>
        <w:pStyle w:val="FirstParagraph"/>
      </w:pPr>
      <w:r>
        <w:t xml:space="preserve">Spatial lags are variables created from physically proximate observations. For example, calculating the average age of all buildings within 100 meters of a tax lot constitutes a spatial lag. Creating spatial lags presents both advantages and disadvantages in the modeling process. Spatial lags allow for much more fine-tuned measurements of a building’s surrounding area. Intuitively, knowing the average sale price of all buildings within 500 meters of a building can be more informative than knowing the sale prices of all buildings in the same Zip Code. However, creating spatial lags is computationally expensive. In addition, it can be challenging to set a proper radius for the spatial lag calculation; in a city, 500 meters may be appropriate (for certain building types), whereas several kilometers or more may be appropriate for less densely populated areas. In this paper, we present a solution for the computational challenges and suggest a potential approach to solving the radius-choice problem.</w:t>
      </w:r>
    </w:p>
    <w:p>
      <w:pPr>
        <w:pStyle w:val="Heading4"/>
      </w:pPr>
      <w:bookmarkStart w:id="46" w:name="creating-the-point-neighbor-relational-graph"/>
      <w:r>
        <w:t xml:space="preserve">Creating the Point-Neighbor Relational Graph</w:t>
      </w:r>
      <w:bookmarkEnd w:id="46"/>
    </w:p>
    <w:p>
      <w:pPr>
        <w:pStyle w:val="FirstParagraph"/>
      </w:pPr>
      <w:r>
        <w:t xml:space="preserve">To build our spatial lags, for each point in the data, we must identify which of all other points in the data fall within a specified radius. This neighbor identification process requires iteratively running point-in-polygon operations, i.e.,</w:t>
      </w:r>
      <w:r>
        <w:t xml:space="preserve"> </w:t>
      </w:r>
      <w:r>
        <w:t xml:space="preserve">“</w:t>
      </w:r>
      <w:r>
        <w:t xml:space="preserve">given polygon P and an arbitrary point q, determine whether point q is enclosed by the edges of the polygon</w:t>
      </w:r>
      <w:r>
        <w:t xml:space="preserve">”</w:t>
      </w:r>
      <w:r>
        <w:t xml:space="preserve"> </w:t>
      </w:r>
      <w:r>
        <w:t xml:space="preserve">(Huang 1996)</w:t>
      </w:r>
      <w:r>
        <w:t xml:space="preserve">. This process is conceptually illustrated in figure</w:t>
      </w:r>
      <w:r>
        <w:t xml:space="preserve"> </w:t>
      </w:r>
      <w:r>
        <w:t xml:space="preserve">.</w:t>
      </w:r>
    </w:p>
    <w:p>
      <w:pPr>
        <w:pStyle w:val="CaptionedFigure"/>
      </w:pPr>
      <w:r>
        <w:drawing>
          <wp:inline>
            <wp:extent cx="5334000" cy="2485476"/>
            <wp:effectExtent b="0" l="0" r="0" t="0"/>
            <wp:docPr descr="Spatial Lag Feature Creation Process" title="" id="1" name="Picture"/>
            <a:graphic>
              <a:graphicData uri="http://schemas.openxmlformats.org/drawingml/2006/picture">
                <pic:pic>
                  <pic:nvPicPr>
                    <pic:cNvPr descr="Sections/tables%20and%20figures/Spatial%20Lag%20Creation.png" id="0" name="Picture"/>
                    <pic:cNvPicPr>
                      <a:picLocks noChangeArrowheads="1" noChangeAspect="1"/>
                    </pic:cNvPicPr>
                  </pic:nvPicPr>
                  <pic:blipFill>
                    <a:blip r:embed="rId47"/>
                    <a:stretch>
                      <a:fillRect/>
                    </a:stretch>
                  </pic:blipFill>
                  <pic:spPr bwMode="auto">
                    <a:xfrm>
                      <a:off x="0" y="0"/>
                      <a:ext cx="5334000" cy="2485476"/>
                    </a:xfrm>
                    <a:prstGeom prst="rect">
                      <a:avLst/>
                    </a:prstGeom>
                    <a:noFill/>
                    <a:ln w="9525">
                      <a:noFill/>
                      <a:headEnd/>
                      <a:tailEnd/>
                    </a:ln>
                  </pic:spPr>
                </pic:pic>
              </a:graphicData>
            </a:graphic>
          </wp:inline>
        </w:drawing>
      </w:r>
    </w:p>
    <w:p>
      <w:pPr>
        <w:pStyle w:val="ImageCaption"/>
      </w:pPr>
      <w:r>
        <w:t xml:space="preserve">Spatial Lag Feature Creation Process</w:t>
      </w:r>
    </w:p>
    <w:p>
      <w:pPr>
        <w:pStyle w:val="BodyText"/>
      </w:pPr>
      <w:r>
        <w:t xml:space="preserve">Given that, for every point</w:t>
      </w:r>
      <w:r>
        <w:t xml:space="preserve"> </w:t>
      </w:r>
      <m:oMath>
        <m:sSub>
          <m:e>
            <m:r>
              <m:t>q</m:t>
            </m:r>
          </m:e>
          <m:sub>
            <m:r>
              <m:t>i</m:t>
            </m:r>
          </m:sub>
        </m:sSub>
      </m:oMath>
      <w:r>
        <w:t xml:space="preserve"> </w:t>
      </w:r>
      <w:r>
        <w:t xml:space="preserve">in our dataset, we need to determine whether every other point</w:t>
      </w:r>
      <w:r>
        <w:t xml:space="preserve"> </w:t>
      </w:r>
      <m:oMath>
        <m:sSub>
          <m:e>
            <m:r>
              <m:t>q</m:t>
            </m:r>
          </m:e>
          <m:sub>
            <m:r>
              <m:t>i</m:t>
            </m:r>
          </m:sub>
        </m:sSub>
      </m:oMath>
      <w:r>
        <w:t xml:space="preserve"> </w:t>
      </w:r>
      <w:r>
        <w:t xml:space="preserve">falls within a given radius, this means that we can approximate the time-complexity of our operation as:</w:t>
      </w:r>
    </w:p>
    <w:p>
      <w:pPr>
        <w:pStyle w:val="BodyText"/>
      </w:pPr>
      <m:oMathPara>
        <m:oMathParaPr>
          <m:jc m:val="center"/>
        </m:oMathParaPr>
        <m:oMath>
          <m:r>
            <m:t>O</m:t>
          </m:r>
          <m:r>
            <m:t>(</m:t>
          </m:r>
          <m:r>
            <m:t>N</m:t>
          </m:r>
          <m:r>
            <m:t>(</m:t>
          </m:r>
          <m:r>
            <m:t>N</m:t>
          </m:r>
          <m:r>
            <m:t>−</m:t>
          </m:r>
          <m:r>
            <m:t>1</m:t>
          </m:r>
          <m:r>
            <m:t>)</m:t>
          </m:r>
          <m:r>
            <m:t>)</m:t>
          </m:r>
        </m:oMath>
      </m:oMathPara>
    </w:p>
    <w:p>
      <w:pPr>
        <w:pStyle w:val="FirstParagraph"/>
      </w:pPr>
      <w:r>
        <w:t xml:space="preserve">Since the number of operations approaches</w:t>
      </w:r>
      <w:r>
        <w:t xml:space="preserve"> </w:t>
      </w:r>
      <m:oMath>
        <m:sSup>
          <m:e>
            <m:r>
              <m:t>N</m:t>
            </m:r>
          </m:e>
          <m:sup>
            <m:r>
              <m:t>2</m:t>
            </m:r>
          </m:sup>
        </m:sSup>
      </m:oMath>
      <w:r>
        <w:t xml:space="preserve">, calculating spatial lags for all 8,247,499 observations in our modeling data would be infeasible from a time and computation perspective. Assuming that tax lots rarely if ever move over time, we first reduced the task to the number of unique tax lots in New York City from 2003-2017, which is 514,124 points. Next, we implemented an indexing technique that greatly speeds up the process of creating a point-neighbor relational graph. The indexing technique both reduces the relative search space for each computation and also allows for parallelization of the point-in-polygon operations by dividing the data into a gridded space. The gridded spatial indexing process is outlined in Algorithm</w:t>
      </w:r>
      <w:r>
        <w:t xml:space="preserve"> </w:t>
      </w:r>
      <w:r>
        <w:t xml:space="preserve">.</w:t>
      </w:r>
    </w:p>
    <w:p>
      <w:pPr>
        <w:pStyle w:val="BodyText"/>
      </w:pPr>
      <w:r>
        <w:t xml:space="preserve">Each gridded partition of the data is married with a corresponding search space</w:t>
      </w:r>
      <w:r>
        <w:t xml:space="preserve"> </w:t>
      </w:r>
      <m:oMath>
        <m:r>
          <m:t>S</m:t>
        </m:r>
      </m:oMath>
      <w:r>
        <w:t xml:space="preserve">, which is the convex hull of the partition space buffered by the maximum distance</w:t>
      </w:r>
      <w:r>
        <w:t xml:space="preserve"> </w:t>
      </w:r>
      <m:oMath>
        <m:r>
          <m:t>d</m:t>
        </m:r>
      </m:oMath>
      <w:r>
        <w:t xml:space="preserve">. In our case, we buffered the search space by 500 meters. Choosing an appropriate radius for buffering presents an additional challenge in creating spatially-conscious machine learning predictive models. In this paper, we chose an arbitrary radius, and use a two-stage modeling process to test the appropriateness of that assumption. Future work may want to explore implementing an</w:t>
      </w:r>
      <w:r>
        <w:t xml:space="preserve"> </w:t>
      </w:r>
      <w:r>
        <w:t xml:space="preserve">“</w:t>
      </w:r>
      <w:r>
        <w:t xml:space="preserve">adaptive bandwidth</w:t>
      </w:r>
      <w:r>
        <w:t xml:space="preserve">”</w:t>
      </w:r>
      <w:r>
        <w:t xml:space="preserve"> </w:t>
      </w:r>
      <w:r>
        <w:t xml:space="preserve">technique using cross-validation to determine the optimal radius.</w:t>
      </w:r>
    </w:p>
    <w:p>
      <w:pPr>
        <w:pStyle w:val="BodyText"/>
      </w:pPr>
      <w:r>
        <w:t xml:space="preserve">By partitioning the data into spatial grids, we were able to reduce the search space for each operation by an arbitrary number of partitions</w:t>
      </w:r>
      <w:r>
        <w:t xml:space="preserve"> </w:t>
      </w:r>
      <m:oMath>
        <m:r>
          <m:t>G</m:t>
        </m:r>
      </m:oMath>
      <w:r>
        <w:t xml:space="preserve">. This improves the base run-time complexity to:</w:t>
      </w:r>
    </w:p>
    <w:p>
      <w:pPr>
        <w:pStyle w:val="BodyText"/>
      </w:pPr>
      <m:oMathPara>
        <m:oMathParaPr>
          <m:jc m:val="center"/>
        </m:oMathParaPr>
        <m:oMath>
          <m:r>
            <m:t>O</m:t>
          </m:r>
          <m:r>
            <m:t>(</m:t>
          </m:r>
          <m:r>
            <m:t>N</m:t>
          </m:r>
          <m:r>
            <m:t>(</m:t>
          </m:r>
          <m:f>
            <m:fPr>
              <m:type m:val="bar"/>
            </m:fPr>
            <m:num>
              <m:r>
                <m:t>N</m:t>
              </m:r>
              <m:r>
                <m:t>−</m:t>
              </m:r>
              <m:r>
                <m:t>1</m:t>
              </m:r>
            </m:num>
            <m:den>
              <m:r>
                <m:t>G</m:t>
              </m:r>
            </m:den>
          </m:f>
          <m:r>
            <m:t>)</m:t>
          </m:r>
        </m:oMath>
      </m:oMathPara>
    </w:p>
    <w:p>
      <w:pPr>
        <w:pStyle w:val="FirstParagraph"/>
      </w:pPr>
      <w:r>
        <w:t xml:space="preserve">By making G arbitrarily large (bounded by computational resources only), we reduced the runtime substantially. Furthermore, binning the operations into grids allowed us to parallelize the computation, further reducing the overall runtime. Figure</w:t>
      </w:r>
      <w:r>
        <w:t xml:space="preserve"> </w:t>
      </w:r>
      <w:r>
        <w:t xml:space="preserve"> </w:t>
      </w:r>
      <w:r>
        <w:t xml:space="preserve">shows a comparison of computation times between the basic point-in-polygon technique and a sequential version of the grided indexing technique. Note that the grid method starts as slower than the basic point-in-polygon technique due to pre-processing overhead, but quickly wins out in terms of speed as the complexity of the task increases. This graph also does not reflect the parallelization of the grid method, which further reduced the time required to calculate the point-neighbor relational graph.</w:t>
      </w:r>
    </w:p>
    <w:p>
      <w:pPr>
        <w:pStyle w:val="CaptionedFigure"/>
      </w:pPr>
      <w:r>
        <w:drawing>
          <wp:inline>
            <wp:extent cx="5334000" cy="2516909"/>
            <wp:effectExtent b="0" l="0" r="0" t="0"/>
            <wp:docPr descr="Spatial Index Time Comparison" title="" id="1" name="Picture"/>
            <a:graphic>
              <a:graphicData uri="http://schemas.openxmlformats.org/drawingml/2006/picture">
                <pic:pic>
                  <pic:nvPicPr>
                    <pic:cNvPr descr="Sections/tables%20and%20figures/Example%20Spatial%20Indexing%20Techniques.png" id="0" name="Picture"/>
                    <pic:cNvPicPr>
                      <a:picLocks noChangeArrowheads="1" noChangeAspect="1"/>
                    </pic:cNvPicPr>
                  </pic:nvPicPr>
                  <pic:blipFill>
                    <a:blip r:embed="rId48"/>
                    <a:stretch>
                      <a:fillRect/>
                    </a:stretch>
                  </pic:blipFill>
                  <pic:spPr bwMode="auto">
                    <a:xfrm>
                      <a:off x="0" y="0"/>
                      <a:ext cx="5334000" cy="2516909"/>
                    </a:xfrm>
                    <a:prstGeom prst="rect">
                      <a:avLst/>
                    </a:prstGeom>
                    <a:noFill/>
                    <a:ln w="9525">
                      <a:noFill/>
                      <a:headEnd/>
                      <a:tailEnd/>
                    </a:ln>
                  </pic:spPr>
                </pic:pic>
              </a:graphicData>
            </a:graphic>
          </wp:inline>
        </w:drawing>
      </w:r>
    </w:p>
    <w:p>
      <w:pPr>
        <w:pStyle w:val="ImageCaption"/>
      </w:pPr>
      <w:r>
        <w:t xml:space="preserve">Spatial Index Time Comparison</w:t>
      </w:r>
    </w:p>
    <w:p>
      <w:pPr>
        <w:pStyle w:val="Heading4"/>
      </w:pPr>
      <w:bookmarkStart w:id="49" w:name="calculating-spatial-lags"/>
      <w:r>
        <w:t xml:space="preserve">Calculating Spatial Lags</w:t>
      </w:r>
      <w:bookmarkEnd w:id="49"/>
    </w:p>
    <w:p>
      <w:pPr>
        <w:pStyle w:val="FirstParagraph"/>
      </w:pPr>
      <w:r>
        <w:t xml:space="preserve">Once we contructed the point-neighbor relational graph, we then used the graph to aggregate the data into spatial lag variables. One advantage of using spatial lags is the abundant number of potential features which can be engineered. Spatial lags can be weighted based on a distance function, e.g., physically closer observations can be given more weight. For our modeling purposes, we created two sets of features: inverse-distance weighted features (denoted with a "_dist" in Table</w:t>
      </w:r>
      <w:r>
        <w:t xml:space="preserve"> </w:t>
      </w:r>
      <w:r>
        <w:t xml:space="preserve">) and simple average features (denoted with "_basic" in Table</w:t>
      </w:r>
      <w:r>
        <w:t xml:space="preserve"> </w:t>
      </w:r>
      <w:r>
        <w:t xml:space="preserve">).</w:t>
      </w:r>
    </w:p>
    <w:p>
      <w:pPr>
        <w:pStyle w:val="BodyText"/>
      </w:pPr>
      <w:r>
        <w:t xml:space="preserve">Temporal and spatial derivatives of the Spatial Lag features, presented in Table</w:t>
      </w:r>
      <w:r>
        <w:t xml:space="preserve"> </w:t>
      </w:r>
      <w:r>
        <w:t xml:space="preserve">, were also added to the model, including: variables weighted by Euclidean distance (</w:t>
      </w:r>
      <w:r>
        <w:t xml:space="preserve">“</w:t>
      </w:r>
      <w:r>
        <w:t xml:space="preserve">dist</w:t>
      </w:r>
      <w:r>
        <w:t xml:space="preserve">”</w:t>
      </w:r>
      <w:r>
        <w:t xml:space="preserve">), basic averages of the spatial lag radius (</w:t>
      </w:r>
      <w:r>
        <w:t xml:space="preserve">“</w:t>
      </w:r>
      <w:r>
        <w:t xml:space="preserve">basic mean</w:t>
      </w:r>
      <w:r>
        <w:t xml:space="preserve">”</w:t>
      </w:r>
      <w:r>
        <w:t xml:space="preserve">), SMA for 2 years, 3 years and 5 years, EMA for 2 years, 3 years and 5 years, and year-over-year percent changes for all variables (</w:t>
      </w:r>
      <w:r>
        <w:t xml:space="preserve">“</w:t>
      </w:r>
      <w:r>
        <w:t xml:space="preserve">perc change</w:t>
      </w:r>
      <w:r>
        <w:t xml:space="preserve">”</w:t>
      </w:r>
      <w:r>
        <w:t xml:space="preserve">). In total, the spatial lag feature engineering process input 92 variables and output 194 variables.</w:t>
      </w:r>
    </w:p>
    <w:p>
      <w:pPr>
        <w:pStyle w:val="Heading2"/>
      </w:pPr>
      <w:bookmarkStart w:id="50" w:name="dependent-variables"/>
      <w:r>
        <w:t xml:space="preserve">Dependent Variables</w:t>
      </w:r>
      <w:bookmarkEnd w:id="50"/>
    </w:p>
    <w:p>
      <w:pPr>
        <w:pStyle w:val="FirstParagraph"/>
      </w:pPr>
      <w:r>
        <w:t xml:space="preserve">The final step in creating the modeling data was to define the dependent variables reflective of the prediction tasks; a binary variable for classification and a continuous variable for regression:</w:t>
      </w:r>
    </w:p>
    <w:p>
      <w:pPr>
        <w:pStyle w:val="Compact"/>
        <w:numPr>
          <w:numId w:val="1005"/>
          <w:ilvl w:val="0"/>
        </w:numPr>
      </w:pPr>
      <w:r>
        <w:rPr>
          <w:b/>
        </w:rPr>
        <w:t xml:space="preserve">Binary: Sold</w:t>
      </w:r>
      <w:r>
        <w:t xml:space="preserve"> </w:t>
      </w:r>
      <w:r>
        <w:t xml:space="preserve">whether a tax lot sold in a given year. Used in the Probability of Sale classification model.</w:t>
      </w:r>
    </w:p>
    <w:p>
      <w:pPr>
        <w:pStyle w:val="Compact"/>
        <w:numPr>
          <w:numId w:val="1005"/>
          <w:ilvl w:val="0"/>
        </w:numPr>
      </w:pPr>
      <w:r>
        <w:rPr>
          <w:b/>
        </w:rPr>
        <w:t xml:space="preserve">Continuous: Sale Price per SF</w:t>
      </w:r>
      <w:r>
        <w:t xml:space="preserve"> </w:t>
      </w:r>
      <w:r>
        <w:t xml:space="preserve">The price-per-square-foot associated with a transaction, if a sale took place. Used in the Sale Price Regression model.</w:t>
      </w:r>
    </w:p>
    <w:p>
      <w:pPr>
        <w:pStyle w:val="FirstParagraph"/>
      </w:pPr>
      <w:r>
        <w:t xml:space="preserve">Table</w:t>
      </w:r>
      <w:r>
        <w:t xml:space="preserve"> </w:t>
      </w:r>
      <w:r>
        <w:t xml:space="preserve"> </w:t>
      </w:r>
      <w:r>
        <w:t xml:space="preserve">describes the distributions of both outcome variables.</w:t>
      </w:r>
    </w:p>
    <w:p>
      <w:pPr>
        <w:pStyle w:val="Heading2"/>
      </w:pPr>
      <w:bookmarkStart w:id="51" w:name="algorithms-comparison"/>
      <w:r>
        <w:t xml:space="preserve">Algorithms Comparison</w:t>
      </w:r>
      <w:bookmarkEnd w:id="51"/>
    </w:p>
    <w:p>
      <w:pPr>
        <w:pStyle w:val="FirstParagraph"/>
      </w:pPr>
      <w:r>
        <w:t xml:space="preserve">We implemented and compared several algorithms across our two-stage process. In Stage 1, the Random Forest algorithm was used to identify the optimal subset of building types and geographies for our spatial lag aggregation assumptions. In Stage 2, we analyzed the hold-out test performance of several algorithms including Random Forest, Generalized Linear Model (GLM), Gradient Boosting Machine (GBM), and Feed-Forward Artificial Neural Network (ANN). Each algorithm was run over the three competing feature engineering datasets and for both the classification and regression tasks.</w:t>
      </w:r>
    </w:p>
    <w:p>
      <w:pPr>
        <w:pStyle w:val="Heading3"/>
      </w:pPr>
      <w:bookmarkStart w:id="52" w:name="random-forest"/>
      <w:r>
        <w:t xml:space="preserve">Random Forest</w:t>
      </w:r>
      <w:bookmarkEnd w:id="52"/>
    </w:p>
    <w:p>
      <w:pPr>
        <w:pStyle w:val="FirstParagraph"/>
      </w:pPr>
      <w:r>
        <w:t xml:space="preserve">Leo Breiman proposed the Random Forest concept in 2001 as an ensemble of prediction decision trees iteratively trained across randomly generated subsets of data</w:t>
      </w:r>
      <w:r>
        <w:t xml:space="preserve"> </w:t>
      </w:r>
      <w:r>
        <w:t xml:space="preserve">(Breiman 2001)</w:t>
      </w:r>
      <w:r>
        <w:t xml:space="preserve">. Algorithm</w:t>
      </w:r>
      <w:r>
        <w:t xml:space="preserve"> </w:t>
      </w:r>
      <w:r>
        <w:t xml:space="preserve"> </w:t>
      </w:r>
      <w:r>
        <w:t xml:space="preserve">outlines the procedure</w:t>
      </w:r>
      <w:r>
        <w:t xml:space="preserve"> </w:t>
      </w:r>
      <w:r>
        <w:t xml:space="preserve">(Hastie, Tibshirani, and Friedman 2001)</w:t>
      </w:r>
      <w:r>
        <w:t xml:space="preserve">.</w:t>
      </w:r>
    </w:p>
    <w:p>
      <w:pPr>
        <w:pStyle w:val="BodyText"/>
      </w:pPr>
      <w:r>
        <w:t xml:space="preserve">Previous works (see:</w:t>
      </w:r>
      <w:r>
        <w:t xml:space="preserve"> </w:t>
      </w:r>
      <w:r>
        <w:t xml:space="preserve">Antipov and Pokryshevskaya (2012)</w:t>
      </w:r>
      <w:r>
        <w:t xml:space="preserve">; also</w:t>
      </w:r>
      <w:r>
        <w:t xml:space="preserve"> </w:t>
      </w:r>
      <w:r>
        <w:t xml:space="preserve">Schernthanner H. (2016)</w:t>
      </w:r>
      <w:r>
        <w:t xml:space="preserve">) have found the Random Forest algorithm suitable to prediction tasks involving real estate. While algorithms exist that may outperform Random Forest in terms of predictive accuracy (such as neural networks and functional gradient descent algorithms), Random Forest is highly scalable and parallelizable, and is therefore an attractive choice for quickly assessing the predictive power of different feature engineering techniques. For these reasons and more outlined below, we selected Random Forest as the primary algorithm for Stage 1 of our modeling process.</w:t>
      </w:r>
    </w:p>
    <w:p>
      <w:pPr>
        <w:pStyle w:val="BodyText"/>
      </w:pPr>
      <w:r>
        <w:t xml:space="preserve">Random Forest, like all predictive algorithms used in this paper, suits both classification and regression tasks. The Random Forest algorithm works by generating a large number of independent classification or regression decision trees and then employing majority voting (for classification) or averaging (for regression) to generate predictions. Over a dataset of N rows by M predictors, a bootstrap sample of the data is chosen (n &lt; N) as well as a subset of the predictors (m &lt; M). Individual decision/regression trees are built on the n by m sample. Because the trees develop independently (and not sequentially, as is the case with most functional gradient descent algorithms), the tree building process can be executed in parallel. With a sufficiently large number of computer cores, the model training time can be significantly reduced.</w:t>
      </w:r>
    </w:p>
    <w:p>
      <w:pPr>
        <w:pStyle w:val="BodyText"/>
      </w:pPr>
      <w:r>
        <w:t xml:space="preserve">We chose Random Forest as the algorithm for Stage 1 because:</w:t>
      </w:r>
    </w:p>
    <w:p>
      <w:pPr>
        <w:pStyle w:val="Compact"/>
        <w:numPr>
          <w:numId w:val="1006"/>
          <w:ilvl w:val="0"/>
        </w:numPr>
      </w:pPr>
      <w:r>
        <w:t xml:space="preserve">The algorithm can be parallelized and is relatively fast compared to neural networks and functional gradient descent algorithms</w:t>
      </w:r>
    </w:p>
    <w:p>
      <w:pPr>
        <w:pStyle w:val="Compact"/>
        <w:numPr>
          <w:numId w:val="1006"/>
          <w:ilvl w:val="0"/>
        </w:numPr>
      </w:pPr>
      <w:r>
        <w:t xml:space="preserve">Can accommodate categorical variables with many levels. Real estate data often contains information describing the location of the property, or the property itself, as one of a large set of possible choices, such as neighborhood, county, census tract, district, property type, and zoning information. Because factors need to be recoded as individual dummy variables in the model building process, factors with many levels will quickly encounter the curse of dimensionality in multiple regression techniques.</w:t>
      </w:r>
    </w:p>
    <w:p>
      <w:pPr>
        <w:pStyle w:val="Compact"/>
        <w:numPr>
          <w:numId w:val="1006"/>
          <w:ilvl w:val="0"/>
        </w:numPr>
      </w:pPr>
      <w:r>
        <w:t xml:space="preserve">Appropriately handles missing data. Predictions can be made with the parts of the tree which are successfully built, and therefore, there is no need to filter out incomplete observations or impute missing values. Since much real estate data is self-reported, incomplete fields are common in the data.</w:t>
      </w:r>
    </w:p>
    <w:p>
      <w:pPr>
        <w:pStyle w:val="Compact"/>
        <w:numPr>
          <w:numId w:val="1006"/>
          <w:ilvl w:val="0"/>
        </w:numPr>
      </w:pPr>
      <w:r>
        <w:t xml:space="preserve">Robust against outliers. Because of bootstrap sampling, outliers appear in individual trees less often, and therefore, their influence is curtailed. Real estate data, especially with regards to pricing, tends to contain outliers. For example, the dependent variable in one of our models, Sale Price, shows a clear divergence in median and mean, as well as a maximum significantly higher than the third quartile.</w:t>
      </w:r>
    </w:p>
    <w:p>
      <w:pPr>
        <w:pStyle w:val="Compact"/>
        <w:numPr>
          <w:numId w:val="1006"/>
          <w:ilvl w:val="0"/>
        </w:numPr>
      </w:pPr>
      <w:r>
        <w:t xml:space="preserve">Can recognize non-linear relationships in data, which is useful when modeling spatial relationships.</w:t>
      </w:r>
    </w:p>
    <w:p>
      <w:pPr>
        <w:pStyle w:val="Compact"/>
        <w:numPr>
          <w:numId w:val="1006"/>
          <w:ilvl w:val="0"/>
        </w:numPr>
      </w:pPr>
      <w:r>
        <w:t xml:space="preserve">Is not affected by co-linearity in the data. This is highly valuable as real estate data can be highly correlated.</w:t>
      </w:r>
    </w:p>
    <w:p>
      <w:pPr>
        <w:pStyle w:val="FirstParagraph"/>
      </w:pPr>
      <w:r>
        <w:t xml:space="preserve">To run the model, we chose the h2o.randomForest implementation from the h2o R open source library. The h2o implementation of the Random Forest algorithm is particularly well-suited for high parallelization. For more information, see:</w:t>
      </w:r>
      <w:r>
        <w:t xml:space="preserve"> </w:t>
      </w:r>
      <w:hyperlink r:id="rId53">
        <w:r>
          <w:rPr>
            <w:rStyle w:val="Hyperlink"/>
          </w:rPr>
          <w:t xml:space="preserve">https://www.h2o.ai/</w:t>
        </w:r>
      </w:hyperlink>
      <w:r>
        <w:t xml:space="preserve">.</w:t>
      </w:r>
    </w:p>
    <w:p>
      <w:pPr>
        <w:pStyle w:val="Heading3"/>
      </w:pPr>
      <w:bookmarkStart w:id="54" w:name="generalized-linear-model"/>
      <w:r>
        <w:t xml:space="preserve">Generalized Linear Model</w:t>
      </w:r>
      <w:bookmarkEnd w:id="54"/>
    </w:p>
    <w:p>
      <w:pPr>
        <w:pStyle w:val="FirstParagraph"/>
      </w:pPr>
      <w:r>
        <w:t xml:space="preserve">A generalized linear model (GLM) is an extension of the general linear model that estimates an independent variable</w:t>
      </w:r>
      <w:r>
        <w:t xml:space="preserve"> </w:t>
      </w:r>
      <m:oMath>
        <m:r>
          <m:t>y</m:t>
        </m:r>
      </m:oMath>
      <w:r>
        <w:t xml:space="preserve"> </w:t>
      </w:r>
      <w:r>
        <w:t xml:space="preserve">as the linear combination of one or more predictor variables. A GLM is made up of a linear predictor taking the form</w:t>
      </w:r>
      <w:r>
        <w:t xml:space="preserve"> </w:t>
      </w:r>
      <m:oMath>
        <m:sSub>
          <m:e>
            <m:r>
              <m:t>η</m:t>
            </m:r>
          </m:e>
          <m:sub>
            <m:r>
              <m:t>i</m:t>
            </m:r>
          </m:sub>
        </m:sSub>
        <m:r>
          <m:t>=</m:t>
        </m:r>
        <m:sSub>
          <m:e>
            <m:r>
              <m:t>β</m:t>
            </m:r>
          </m:e>
          <m:sub>
            <m:r>
              <m:t>0</m:t>
            </m:r>
          </m:sub>
        </m:sSub>
        <m:r>
          <m:t>+</m:t>
        </m:r>
        <m:sSub>
          <m:e>
            <m:r>
              <m:t>β</m:t>
            </m:r>
          </m:e>
          <m:sub>
            <m:r>
              <m:t>1</m:t>
            </m:r>
          </m:sub>
        </m:sSub>
        <m:sSub>
          <m:e>
            <m:r>
              <m:t>x</m:t>
            </m:r>
          </m:e>
          <m:sub>
            <m:r>
              <m:t>i</m:t>
            </m:r>
            <m:r>
              <m:t>1</m:t>
            </m:r>
          </m:sub>
        </m:sSub>
        <m:r>
          <m:t>+</m:t>
        </m:r>
        <m:r>
          <m:t>.</m:t>
        </m:r>
        <m:r>
          <m:t>.</m:t>
        </m:r>
        <m:r>
          <m:t>.</m:t>
        </m:r>
        <m:r>
          <m:t>+</m:t>
        </m:r>
        <m:sSub>
          <m:e>
            <m:r>
              <m:t>β</m:t>
            </m:r>
          </m:e>
          <m:sub>
            <m:r>
              <m:t>p</m:t>
            </m:r>
          </m:sub>
        </m:sSub>
        <m:sSub>
          <m:e>
            <m:r>
              <m:t>x</m:t>
            </m:r>
          </m:e>
          <m:sub>
            <m:r>
              <m:t>i</m:t>
            </m:r>
            <m:r>
              <m:t>p</m:t>
            </m:r>
          </m:sub>
        </m:sSub>
      </m:oMath>
      <w:r>
        <w:t xml:space="preserve">, a link function that describes how the mean,</w:t>
      </w:r>
      <w:r>
        <w:t xml:space="preserve"> </w:t>
      </w:r>
      <m:oMath>
        <m:r>
          <m:t>E</m:t>
        </m:r>
        <m:r>
          <m:t>(</m:t>
        </m:r>
        <m:sSub>
          <m:e>
            <m:r>
              <m:t>Y</m:t>
            </m:r>
          </m:e>
          <m:sub>
            <m:r>
              <m:t>i</m:t>
            </m:r>
          </m:sub>
        </m:sSub>
        <m:r>
          <m:t>)</m:t>
        </m:r>
        <m:r>
          <m:t>=</m:t>
        </m:r>
        <m:sSub>
          <m:e>
            <m:r>
              <m:t>μ</m:t>
            </m:r>
          </m:e>
          <m:sub>
            <m:r>
              <m:t>i</m:t>
            </m:r>
          </m:sub>
        </m:sSub>
      </m:oMath>
      <w:r>
        <w:t xml:space="preserve"> </w:t>
      </w:r>
      <w:r>
        <w:t xml:space="preserve">depends on the linear predictor, and a variance function that describes how the variance, var</w:t>
      </w:r>
      <m:oMath>
        <m:r>
          <m:t>(</m:t>
        </m:r>
        <m:sSub>
          <m:e>
            <m:r>
              <m:t>Y</m:t>
            </m:r>
          </m:e>
          <m:sub>
            <m:r>
              <m:t>i</m:t>
            </m:r>
          </m:sub>
        </m:sSub>
        <m:r>
          <m:t>)</m:t>
        </m:r>
      </m:oMath>
      <w:r>
        <w:t xml:space="preserve"> </w:t>
      </w:r>
      <w:r>
        <w:t xml:space="preserve">depends on the mean</w:t>
      </w:r>
      <w:r>
        <w:t xml:space="preserve"> </w:t>
      </w:r>
      <w:r>
        <w:t xml:space="preserve">(Hoffmann 2004)</w:t>
      </w:r>
      <w:r>
        <w:t xml:space="preserve">. The observed value of the dependent variable</w:t>
      </w:r>
      <w:r>
        <w:t xml:space="preserve"> </w:t>
      </w:r>
      <m:oMath>
        <m:r>
          <m:t>y</m:t>
        </m:r>
      </m:oMath>
      <w:r>
        <w:t xml:space="preserve"> </w:t>
      </w:r>
      <w:r>
        <w:t xml:space="preserve">for observation</w:t>
      </w:r>
      <w:r>
        <w:t xml:space="preserve"> </w:t>
      </w:r>
      <m:oMath>
        <m:r>
          <m:t>i</m:t>
        </m:r>
      </m:oMath>
      <w:r>
        <w:t xml:space="preserve"> </w:t>
      </w:r>
      <m:oMath>
        <m:r>
          <m:t>(</m:t>
        </m:r>
        <m:r>
          <m:t>i</m:t>
        </m:r>
        <m:r>
          <m:t>=</m:t>
        </m:r>
        <m:r>
          <m:t>1</m:t>
        </m:r>
        <m:r>
          <m:t>,</m:t>
        </m:r>
        <m:r>
          <m:t>2</m:t>
        </m:r>
        <m:r>
          <m:t>,</m:t>
        </m:r>
        <m:r>
          <m:t>.</m:t>
        </m:r>
        <m:r>
          <m:t>.</m:t>
        </m:r>
        <m:r>
          <m:t>.</m:t>
        </m:r>
        <m:r>
          <m:t>,</m:t>
        </m:r>
        <m:r>
          <m:t>n</m:t>
        </m:r>
        <m:r>
          <m:t>)</m:t>
        </m:r>
      </m:oMath>
      <w:r>
        <w:t xml:space="preserve"> </w:t>
      </w:r>
      <w:r>
        <w:t xml:space="preserve">is modeled as a linear function of</w:t>
      </w:r>
      <w:r>
        <w:t xml:space="preserve"> </w:t>
      </w:r>
      <m:oMath>
        <m:r>
          <m:t>(</m:t>
        </m:r>
        <m:r>
          <m:t>p</m:t>
        </m:r>
        <m:r>
          <m:t>−</m:t>
        </m:r>
        <m:r>
          <m:t>1</m:t>
        </m:r>
        <m:r>
          <m:t>)</m:t>
        </m:r>
      </m:oMath>
      <w:r>
        <w:t xml:space="preserve"> </w:t>
      </w:r>
      <w:r>
        <w:t xml:space="preserve">independent variables</w:t>
      </w:r>
      <w:r>
        <w:t xml:space="preserve"> </w:t>
      </w:r>
      <m:oMath>
        <m:r>
          <m:t>x</m:t>
        </m:r>
        <m:r>
          <m:t>1</m:t>
        </m:r>
        <m:r>
          <m:t>,</m:t>
        </m:r>
        <m:r>
          <m:t>x</m:t>
        </m:r>
        <m:r>
          <m:t>2</m:t>
        </m:r>
        <m:r>
          <m:t>,</m:t>
        </m:r>
        <m:r>
          <m:t>.</m:t>
        </m:r>
        <m:r>
          <m:t>.</m:t>
        </m:r>
        <m:r>
          <m:t>.</m:t>
        </m:r>
        <m:r>
          <m:t>,</m:t>
        </m:r>
        <m:r>
          <m:t>x</m:t>
        </m:r>
        <m:r>
          <m:t>p</m:t>
        </m:r>
        <m:r>
          <m:t>−</m:t>
        </m:r>
        <m:r>
          <m:t>1</m:t>
        </m:r>
      </m:oMath>
      <w:r>
        <w:t xml:space="preserve"> </w:t>
      </w:r>
      <w:r>
        <w:t xml:space="preserve">as</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sSub>
            <m:e>
              <m:r>
                <m:t>x</m:t>
              </m:r>
            </m:e>
            <m:sub>
              <m:r>
                <m:t>i</m:t>
              </m:r>
              <m:r>
                <m:t>1</m:t>
              </m:r>
            </m:sub>
          </m:sSub>
          <m:r>
            <m:t>+</m:t>
          </m:r>
          <m:r>
            <m:t>.</m:t>
          </m:r>
          <m:r>
            <m:t>.</m:t>
          </m:r>
          <m:r>
            <m:t>.</m:t>
          </m:r>
          <m:r>
            <m:t>+</m:t>
          </m:r>
          <m:sSub>
            <m:e>
              <m:r>
                <m:t>β</m:t>
              </m:r>
            </m:e>
            <m:sub>
              <m:r>
                <m:t>p</m:t>
              </m:r>
              <m:r>
                <m:t>−</m:t>
              </m:r>
              <m:r>
                <m:t>1</m:t>
              </m:r>
            </m:sub>
          </m:sSub>
          <m:sSub>
            <m:e>
              <m:r>
                <m:t>x</m:t>
              </m:r>
            </m:e>
            <m:sub>
              <m:r>
                <m:t>i</m:t>
              </m:r>
              <m:r>
                <m:t>(</m:t>
              </m:r>
              <m:r>
                <m:t>p</m:t>
              </m:r>
              <m:r>
                <m:t>−</m:t>
              </m:r>
              <m:r>
                <m:t>1</m:t>
              </m:r>
              <m:r>
                <m:t>)</m:t>
              </m:r>
            </m:sub>
          </m:sSub>
          <m:r>
            <m:t>+</m:t>
          </m:r>
          <m:sSub>
            <m:e>
              <m:r>
                <m:t>e</m:t>
              </m:r>
            </m:e>
            <m:sub>
              <m:r>
                <m:t>i</m:t>
              </m:r>
            </m:sub>
          </m:sSub>
        </m:oMath>
      </m:oMathPara>
    </w:p>
    <w:p>
      <w:pPr>
        <w:pStyle w:val="FirstParagraph"/>
      </w:pPr>
      <w:r>
        <w:t xml:space="preserve">Several family types of GLM’s exist. For a binary independent variable, a binomial logistic regression is appropriate. For a continuous independent variable, the Gaussian or another distribution is appropriate. For our purposes, the Gaussian family is used for our regression task and binomial for the classification.</w:t>
      </w:r>
    </w:p>
    <w:p>
      <w:pPr>
        <w:pStyle w:val="Heading3"/>
      </w:pPr>
      <w:bookmarkStart w:id="55" w:name="gradient-boosting-machine"/>
      <w:r>
        <w:t xml:space="preserve">Gradient Boosting Machine</w:t>
      </w:r>
      <w:bookmarkEnd w:id="55"/>
    </w:p>
    <w:p>
      <w:pPr>
        <w:pStyle w:val="FirstParagraph"/>
      </w:pPr>
      <w:r>
        <w:t xml:space="preserve">Gradient Boosting Machine (GBM) is one of the most popular machine learning algorithms available today. The algorithm uses iteratively refined approximations, obtained through cross-validation, to incrementally increase predictive accuracy. Similar to Random Forest, GBM is well-suited to using regression trees as the base learner. Gradient boosting constructs additive regression models by sequentially fitting a simple parameterized function (a</w:t>
      </w:r>
      <w:r>
        <w:t xml:space="preserve"> </w:t>
      </w:r>
      <w:r>
        <w:t xml:space="preserve">“</w:t>
      </w:r>
      <w:r>
        <w:t xml:space="preserve">base learner,</w:t>
      </w:r>
      <w:r>
        <w:t xml:space="preserve">”</w:t>
      </w:r>
      <w:r>
        <w:t xml:space="preserve"> </w:t>
      </w:r>
      <w:r>
        <w:t xml:space="preserve">in our case, a regression tree) to</w:t>
      </w:r>
      <w:r>
        <w:t xml:space="preserve"> </w:t>
      </w:r>
      <w:r>
        <w:t xml:space="preserve">“</w:t>
      </w:r>
      <w:r>
        <w:t xml:space="preserve">pseudo</w:t>
      </w:r>
      <w:r>
        <w:t xml:space="preserve">”</w:t>
      </w:r>
      <w:r>
        <w:t xml:space="preserve">-residuals by least squares at each iteration</w:t>
      </w:r>
      <w:r>
        <w:t xml:space="preserve"> </w:t>
      </w:r>
      <w:r>
        <w:t xml:space="preserve">(Friedman 2002)</w:t>
      </w:r>
      <w:r>
        <w:t xml:space="preserve">. The pseudo-residuals are the gradient of the loss function being minimized, with respect to the model values at each training data point evaluated at the current step. The tree-variant of the generic Gradient Boosting Algorithm is outlined in algorithm</w:t>
      </w:r>
      <w:r>
        <w:t xml:space="preserve"> </w:t>
      </w:r>
      <w:r>
        <w:t xml:space="preserve"> </w:t>
      </w:r>
      <w:r>
        <w:t xml:space="preserve">(Hastie, Tibshirani, and Friedman 2001)</w:t>
      </w:r>
      <w:r>
        <w:t xml:space="preserve">.</w:t>
      </w:r>
    </w:p>
    <w:p>
      <w:pPr>
        <w:pStyle w:val="Heading3"/>
      </w:pPr>
      <w:bookmarkStart w:id="56" w:name="feed-forward-artificial-neural-network"/>
      <w:r>
        <w:t xml:space="preserve">Feed-Forward Artificial Neural Network</w:t>
      </w:r>
      <w:bookmarkEnd w:id="56"/>
    </w:p>
    <w:p>
      <w:pPr>
        <w:pStyle w:val="FirstParagraph"/>
      </w:pPr>
      <w:r>
        <w:t xml:space="preserve">The Artificial Neural Network (ANN) implementation used in this paper is a multi-layer feed-forward artificial neural network trained with stochastic gradient descent using back-propagation. Common synonyms for an ANN model are</w:t>
      </w:r>
      <w:r>
        <w:t xml:space="preserve"> </w:t>
      </w:r>
      <w:r>
        <w:t xml:space="preserve">“</w:t>
      </w:r>
      <w:r>
        <w:t xml:space="preserve">multi-layer perceptron</w:t>
      </w:r>
      <w:r>
        <w:t xml:space="preserve">”</w:t>
      </w:r>
      <w:r>
        <w:t xml:space="preserve"> </w:t>
      </w:r>
      <w:r>
        <w:t xml:space="preserve">and</w:t>
      </w:r>
      <w:r>
        <w:t xml:space="preserve"> </w:t>
      </w:r>
      <w:r>
        <w:t xml:space="preserve">“</w:t>
      </w:r>
      <w:r>
        <w:t xml:space="preserve">deep neural network.</w:t>
      </w:r>
      <w:r>
        <w:t xml:space="preserve">”</w:t>
      </w:r>
      <w:r>
        <w:t xml:space="preserve"> </w:t>
      </w:r>
      <w:r>
        <w:t xml:space="preserve">The feed-forward ANN is one of the most common neural network algorithms, but other types exist, such as the Convolutional Neural Network (CNN) which performs well on image classification tasks, and the Recurrent Neural Network (RNN) which is well-suited for sequential data such as text and audio</w:t>
      </w:r>
      <w:r>
        <w:t xml:space="preserve"> </w:t>
      </w:r>
      <w:r>
        <w:t xml:space="preserve">(Schmidhuber 2015)</w:t>
      </w:r>
      <w:r>
        <w:t xml:space="preserve">. The feed-forward ANN is typically best suited for tabular data.</w:t>
      </w:r>
    </w:p>
    <w:p>
      <w:pPr>
        <w:pStyle w:val="BodyText"/>
      </w:pPr>
      <w:r>
        <w:t xml:space="preserve">The neural network model has unknown parameters, often called weights, and we seek values for them that make the model fit the training data well</w:t>
      </w:r>
      <w:r>
        <w:t xml:space="preserve"> </w:t>
      </w:r>
      <w:r>
        <w:t xml:space="preserve">(Hastie, Tibshirani, and Friedman 2001)</w:t>
      </w:r>
      <w:r>
        <w:t xml:space="preserve">. We denote the complete set of weights by</w:t>
      </w:r>
      <w:r>
        <w:t xml:space="preserve"> </w:t>
      </w:r>
      <m:oMath>
        <m:r>
          <m:t>θ</m:t>
        </m:r>
      </m:oMath>
      <w:r>
        <w:t xml:space="preserve">, which consists of</w:t>
      </w:r>
      <w:r>
        <w:t xml:space="preserve"> </w:t>
      </w:r>
      <m:oMath>
        <m:r>
          <m:t>{</m:t>
        </m:r>
        <m:sSub>
          <m:e>
            <m:r>
              <m:t>α</m:t>
            </m:r>
          </m:e>
          <m:sub>
            <m:r>
              <m:t>0</m:t>
            </m:r>
            <m:r>
              <m:t>m</m:t>
            </m:r>
          </m:sub>
        </m:sSub>
        <m:r>
          <m:t>,</m:t>
        </m:r>
        <m:sSub>
          <m:e>
            <m:r>
              <m:t>α</m:t>
            </m:r>
          </m:e>
          <m:sub>
            <m:r>
              <m:t>m</m:t>
            </m:r>
          </m:sub>
        </m:sSub>
        <m:r>
          <m:t>;</m:t>
        </m:r>
        <m:r>
          <m:t>m</m:t>
        </m:r>
        <m:r>
          <m:t>=</m:t>
        </m:r>
        <m:r>
          <m:t>1</m:t>
        </m:r>
        <m:r>
          <m:t>,</m:t>
        </m:r>
        <m:r>
          <m:t>2</m:t>
        </m:r>
        <m:r>
          <m:t>,</m:t>
        </m:r>
        <m:r>
          <m:t>.</m:t>
        </m:r>
        <m:r>
          <m:t>.</m:t>
        </m:r>
        <m:r>
          <m:t>.</m:t>
        </m:r>
        <m:r>
          <m:t>,</m:t>
        </m:r>
        <m:r>
          <m:t>M</m:t>
        </m:r>
        <m:r>
          <m:t>}</m:t>
        </m:r>
        <m:r>
          <m:t>M</m:t>
        </m:r>
        <m:r>
          <m:t>(</m:t>
        </m:r>
        <m:r>
          <m:t>p</m:t>
        </m:r>
        <m:r>
          <m:t>+</m:t>
        </m:r>
        <m:r>
          <m:t>1</m:t>
        </m:r>
        <m:r>
          <m:t>)</m:t>
        </m:r>
      </m:oMath>
      <w:r>
        <w:t xml:space="preserve"> </w:t>
      </w:r>
      <w:r>
        <w:t xml:space="preserve">weights and</w:t>
      </w:r>
      <w:r>
        <w:t xml:space="preserve"> </w:t>
      </w:r>
      <m:oMath>
        <m:r>
          <m:t>{</m:t>
        </m:r>
        <m:sSub>
          <m:e>
            <m:r>
              <m:t>β</m:t>
            </m:r>
          </m:e>
          <m:sub>
            <m:r>
              <m:t>0</m:t>
            </m:r>
            <m:r>
              <m:t>k</m:t>
            </m:r>
          </m:sub>
        </m:sSub>
        <m:r>
          <m:t>,</m:t>
        </m:r>
        <m:sSub>
          <m:e>
            <m:r>
              <m:t>β</m:t>
            </m:r>
          </m:e>
          <m:sub>
            <m:r>
              <m:t>k</m:t>
            </m:r>
          </m:sub>
        </m:sSub>
        <m:r>
          <m:t>;</m:t>
        </m:r>
        <m:r>
          <m:t>k</m:t>
        </m:r>
        <m:r>
          <m:t>=</m:t>
        </m:r>
        <m:r>
          <m:t>1</m:t>
        </m:r>
        <m:r>
          <m:t>,</m:t>
        </m:r>
        <m:r>
          <m:t>2</m:t>
        </m:r>
        <m:r>
          <m:t>,</m:t>
        </m:r>
        <m:r>
          <m:t>.</m:t>
        </m:r>
        <m:r>
          <m:t>.</m:t>
        </m:r>
        <m:r>
          <m:t>.</m:t>
        </m:r>
        <m:r>
          <m:t>,</m:t>
        </m:r>
        <m:r>
          <m:t>K</m:t>
        </m:r>
        <m:r>
          <m:t>}</m:t>
        </m:r>
        <m:r>
          <m:t>K</m:t>
        </m:r>
        <m:r>
          <m:t>(</m:t>
        </m:r>
        <m:r>
          <m:t>p</m:t>
        </m:r>
        <m:r>
          <m:t>+</m:t>
        </m:r>
        <m:r>
          <m:t>1</m:t>
        </m:r>
        <m:r>
          <m:t>)</m:t>
        </m:r>
      </m:oMath>
      <w:r>
        <w:t xml:space="preserve"> </w:t>
      </w:r>
      <w:r>
        <w:t xml:space="preserve">weights.</w:t>
      </w:r>
    </w:p>
    <w:p>
      <w:pPr>
        <w:pStyle w:val="BodyText"/>
      </w:pPr>
      <w:r>
        <w:t xml:space="preserve">For both classification and regression, we use sum-of-squared errors as our measure of fit (error function)</w:t>
      </w:r>
    </w:p>
    <w:p>
      <w:pPr>
        <w:pStyle w:val="BodyText"/>
      </w:pPr>
      <m:oMathPara>
        <m:oMathParaPr>
          <m:jc m:val="center"/>
        </m:oMathParaPr>
        <m:oMath>
          <m:r>
            <m:t>R</m:t>
          </m:r>
          <m:r>
            <m:t>(</m:t>
          </m:r>
          <m:r>
            <m:t>θ</m:t>
          </m:r>
          <m:r>
            <m:t>)</m:t>
          </m:r>
          <m:r>
            <m:t>=</m:t>
          </m:r>
          <m:nary>
            <m:naryPr>
              <m:chr m:val="∑"/>
              <m:limLoc m:val="undOvr"/>
              <m:subHide m:val="0"/>
              <m:supHide m:val="0"/>
            </m:naryPr>
            <m:sub>
              <m:r>
                <m:t>k</m:t>
              </m:r>
              <m:r>
                <m:t>=</m:t>
              </m:r>
              <m:r>
                <m:t>1</m:t>
              </m:r>
            </m:sub>
            <m:sup>
              <m:r>
                <m:t>K</m:t>
              </m:r>
            </m:sup>
            <m:e>
              <m:nary>
                <m:naryPr>
                  <m:chr m:val="∑"/>
                  <m:limLoc m:val="undOvr"/>
                  <m:subHide m:val="0"/>
                  <m:supHide m:val="0"/>
                </m:naryPr>
                <m:sub>
                  <m:r>
                    <m:t>i</m:t>
                  </m:r>
                  <m:r>
                    <m:t>=</m:t>
                  </m:r>
                  <m:r>
                    <m:t>1</m:t>
                  </m:r>
                </m:sub>
                <m:sup>
                  <m:r>
                    <m:t>N</m:t>
                  </m:r>
                </m:sup>
                <m:e>
                  <m:r>
                    <m:t>(</m:t>
                  </m:r>
                </m:e>
              </m:nary>
            </m:e>
          </m:nary>
          <m:sSub>
            <m:e>
              <m:r>
                <m:t>y</m:t>
              </m:r>
            </m:e>
            <m:sub>
              <m:r>
                <m:t>i</m:t>
              </m:r>
              <m:r>
                <m:t>k</m:t>
              </m:r>
            </m:sub>
          </m:sSub>
          <m:r>
            <m:t>−</m:t>
          </m:r>
          <m:sSub>
            <m:e>
              <m:r>
                <m:t>f</m:t>
              </m:r>
            </m:e>
            <m:sub>
              <m:r>
                <m:t>k</m:t>
              </m:r>
            </m:sub>
          </m:sSub>
          <m:r>
            <m:t>(</m:t>
          </m:r>
          <m:sSub>
            <m:e>
              <m:r>
                <m:t>x</m:t>
              </m:r>
            </m:e>
            <m:sub>
              <m:r>
                <m:t>i</m:t>
              </m:r>
            </m:sub>
          </m:sSub>
          <m:r>
            <m:t>)</m:t>
          </m:r>
          <m:sSup>
            <m:e>
              <m:r>
                <m:t>)</m:t>
              </m:r>
            </m:e>
            <m:sup>
              <m:r>
                <m:t>2</m:t>
              </m:r>
            </m:sup>
          </m:sSup>
        </m:oMath>
      </m:oMathPara>
    </w:p>
    <w:p>
      <w:pPr>
        <w:pStyle w:val="FirstParagraph"/>
      </w:pPr>
      <w:r>
        <w:t xml:space="preserve">The generic approach to minimizing</w:t>
      </w:r>
      <w:r>
        <w:t xml:space="preserve"> </w:t>
      </w:r>
      <m:oMath>
        <m:r>
          <m:t>R</m:t>
        </m:r>
        <m:r>
          <m:t>(</m:t>
        </m:r>
        <m:r>
          <m:t>θ</m:t>
        </m:r>
        <m:r>
          <m:t>)</m:t>
        </m:r>
      </m:oMath>
      <w:r>
        <w:t xml:space="preserve"> </w:t>
      </w:r>
      <w:r>
        <w:t xml:space="preserve">is by gradient descent, called back-propagation in this setting</w:t>
      </w:r>
      <w:r>
        <w:t xml:space="preserve"> </w:t>
      </w:r>
      <w:r>
        <w:t xml:space="preserve">(Hastie, Tibshirani, and Friedman 2001)</w:t>
      </w:r>
      <w:r>
        <w:t xml:space="preserve">. Because of the compositional form of the model, the gradient can be derived using the chain rule for differentiation. This can be computed by a forward and backward sweep over the network, keeping track only of quantities local to each unit. Here is back-propagation in detail for squared error loss:</w:t>
      </w:r>
    </w:p>
    <w:p>
      <w:pPr>
        <w:pStyle w:val="BodyText"/>
      </w:pPr>
      <m:oMathPara>
        <m:oMathParaPr>
          <m:jc m:val="center"/>
        </m:oMathParaPr>
        <m:oMath>
          <m:r>
            <m:t>R</m:t>
          </m:r>
          <m:r>
            <m:t>(</m:t>
          </m:r>
          <m:r>
            <m:t>θ</m:t>
          </m:r>
          <m:r>
            <m:t>)</m:t>
          </m:r>
          <m:r>
            <m:t>=</m:t>
          </m:r>
          <m:nary>
            <m:naryPr>
              <m:chr m:val="∑"/>
              <m:limLoc m:val="undOvr"/>
              <m:subHide m:val="0"/>
              <m:supHide m:val="0"/>
            </m:naryPr>
            <m:sub>
              <m:r>
                <m:t>i</m:t>
              </m:r>
              <m:r>
                <m:t>=</m:t>
              </m:r>
              <m:r>
                <m:t>1</m:t>
              </m:r>
            </m:sub>
            <m:sup>
              <m:r>
                <m:t>N</m:t>
              </m:r>
            </m:sup>
            <m:e>
              <m:sSub>
                <m:e>
                  <m:r>
                    <m:t>R</m:t>
                  </m:r>
                </m:e>
                <m:sub>
                  <m:r>
                    <m:t>i</m:t>
                  </m:r>
                </m:sub>
              </m:sSub>
            </m:e>
          </m:nary>
        </m:oMath>
      </m:oMathPara>
    </w:p>
    <w:p>
      <w:pPr>
        <w:pStyle w:val="FirstParagraph"/>
      </w:pPr>
      <m:oMathPara>
        <m:oMathParaPr>
          <m:jc m:val="center"/>
        </m:oMathParaPr>
        <m:oMath>
          <m:nary>
            <m:naryPr>
              <m:chr m:val="∑"/>
              <m:limLoc m:val="undOvr"/>
              <m:subHide m:val="0"/>
              <m:supHide m:val="0"/>
            </m:naryPr>
            <m:sub>
              <m:r>
                <m:t>i</m:t>
              </m:r>
              <m:r>
                <m:t>=</m:t>
              </m:r>
              <m:r>
                <m:t>1</m:t>
              </m:r>
            </m:sub>
            <m:sup>
              <m:r>
                <m:t>N</m:t>
              </m:r>
            </m:sup>
            <m:e>
              <m:nary>
                <m:naryPr>
                  <m:chr m:val="∑"/>
                  <m:limLoc m:val="undOvr"/>
                  <m:subHide m:val="0"/>
                  <m:supHide m:val="0"/>
                </m:naryPr>
                <m:sub>
                  <m:r>
                    <m:t>k</m:t>
                  </m:r>
                  <m:r>
                    <m:t>=</m:t>
                  </m:r>
                  <m:r>
                    <m:t>1</m:t>
                  </m:r>
                </m:sub>
                <m:sup>
                  <m:r>
                    <m:t>K</m:t>
                  </m:r>
                </m:sup>
                <m:e>
                  <m:r>
                    <m:t>(</m:t>
                  </m:r>
                </m:e>
              </m:nary>
            </m:e>
          </m:nary>
          <m:sSub>
            <m:e>
              <m:r>
                <m:t>y</m:t>
              </m:r>
            </m:e>
            <m:sub>
              <m:r>
                <m:t>i</m:t>
              </m:r>
              <m:r>
                <m:t>k</m:t>
              </m:r>
            </m:sub>
          </m:sSub>
          <m:r>
            <m:t>−</m:t>
          </m:r>
          <m:sSub>
            <m:e>
              <m:r>
                <m:t>f</m:t>
              </m:r>
            </m:e>
            <m:sub>
              <m:r>
                <m:t>k</m:t>
              </m:r>
            </m:sub>
          </m:sSub>
          <m:r>
            <m:t>(</m:t>
          </m:r>
          <m:sSub>
            <m:e>
              <m:r>
                <m:t>x</m:t>
              </m:r>
            </m:e>
            <m:sub>
              <m:r>
                <m:t>i</m:t>
              </m:r>
            </m:sub>
          </m:sSub>
          <m:r>
            <m:t>)</m:t>
          </m:r>
          <m:sSup>
            <m:e>
              <m:r>
                <m:t>)</m:t>
              </m:r>
            </m:e>
            <m:sup>
              <m:r>
                <m:t>2</m:t>
              </m:r>
            </m:sup>
          </m:sSup>
        </m:oMath>
      </m:oMathPara>
    </w:p>
    <w:p>
      <w:pPr>
        <w:pStyle w:val="FirstParagraph"/>
      </w:pPr>
      <w:r>
        <w:t xml:space="preserve">For our implementations, we used the rectifier activation function with 1024 hidden layers, 100 epochs and L1 regularization set to 0.00001. The implementation we chose was the h2o.deeplearning open source R library. For more information, see:</w:t>
      </w:r>
      <w:r>
        <w:t xml:space="preserve"> </w:t>
      </w:r>
      <w:hyperlink r:id="rId53">
        <w:r>
          <w:rPr>
            <w:rStyle w:val="Hyperlink"/>
          </w:rPr>
          <w:t xml:space="preserve">https://www.h2o.ai/</w:t>
        </w:r>
      </w:hyperlink>
      <w:r>
        <w:t xml:space="preserve">.</w:t>
      </w:r>
    </w:p>
    <w:p>
      <w:pPr>
        <w:pStyle w:val="Heading2"/>
      </w:pPr>
      <w:bookmarkStart w:id="57" w:name="model-validation"/>
      <w:r>
        <w:t xml:space="preserve">Model Validation</w:t>
      </w:r>
      <w:bookmarkEnd w:id="57"/>
    </w:p>
    <w:p>
      <w:pPr>
        <w:pStyle w:val="FirstParagraph"/>
      </w:pPr>
      <w:r>
        <w:t xml:space="preserve">The goal of our predictive modeling efforts were to be able to successfully predict both the probability and amount of real estate sales into the near future. As such, trained and evaluated our models using use out-of-time validation to assess performance. As shown in Figure</w:t>
      </w:r>
      <w:r>
        <w:t xml:space="preserve"> </w:t>
      </w:r>
      <w:r>
        <w:t xml:space="preserve"> </w:t>
      </w:r>
      <w:r>
        <w:t xml:space="preserve">The models were trained using data from 2003-2015. We used 2016 data during the model training process for model validation purposes. Finally, we scored our models using 2017 data as a hold-out sample. Using out-of-time validation ensured that our models generalized well into the immediate future.</w:t>
      </w:r>
    </w:p>
    <w:p>
      <w:pPr>
        <w:pStyle w:val="CaptionedFigure"/>
      </w:pPr>
      <w:r>
        <w:drawing>
          <wp:inline>
            <wp:extent cx="5334000" cy="1368000"/>
            <wp:effectExtent b="0" l="0" r="0" t="0"/>
            <wp:docPr descr="Out-of-time validation" title="" id="1" name="Picture"/>
            <a:graphic>
              <a:graphicData uri="http://schemas.openxmlformats.org/drawingml/2006/picture">
                <pic:pic>
                  <pic:nvPicPr>
                    <pic:cNvPr descr="Sections/tables%20and%20figures/Train%20Validate%20Test.png" id="0" name="Picture"/>
                    <pic:cNvPicPr>
                      <a:picLocks noChangeArrowheads="1" noChangeAspect="1"/>
                    </pic:cNvPicPr>
                  </pic:nvPicPr>
                  <pic:blipFill>
                    <a:blip r:embed="rId58"/>
                    <a:stretch>
                      <a:fillRect/>
                    </a:stretch>
                  </pic:blipFill>
                  <pic:spPr bwMode="auto">
                    <a:xfrm>
                      <a:off x="0" y="0"/>
                      <a:ext cx="5334000" cy="1368000"/>
                    </a:xfrm>
                    <a:prstGeom prst="rect">
                      <a:avLst/>
                    </a:prstGeom>
                    <a:noFill/>
                    <a:ln w="9525">
                      <a:noFill/>
                      <a:headEnd/>
                      <a:tailEnd/>
                    </a:ln>
                  </pic:spPr>
                </pic:pic>
              </a:graphicData>
            </a:graphic>
          </wp:inline>
        </w:drawing>
      </w:r>
    </w:p>
    <w:p>
      <w:pPr>
        <w:pStyle w:val="ImageCaption"/>
      </w:pPr>
      <w:r>
        <w:t xml:space="preserve">Out-of-time validation</w:t>
      </w:r>
    </w:p>
    <w:p>
      <w:pPr>
        <w:pStyle w:val="Heading2"/>
      </w:pPr>
      <w:bookmarkStart w:id="59" w:name="evaluation-metrics"/>
      <w:r>
        <w:t xml:space="preserve">Evaluation Metrics</w:t>
      </w:r>
      <w:bookmarkEnd w:id="59"/>
    </w:p>
    <w:p>
      <w:pPr>
        <w:pStyle w:val="FirstParagraph"/>
      </w:pPr>
      <w:r>
        <w:t xml:space="preserve">We chose evaluation metrics that allowed us to easily compare the performance of the models against other similar models with the same dependent variable. The classification models (Probability of Sale) were compared using Area Under the ROC Curve (AUC). The regression models (Sale Price) were compared using Root Mean Squared Error (RMSE). Both evaluation metrics are common for their respective outcome variable types, and as such were useful for comparing within model-groups.</w:t>
      </w:r>
    </w:p>
    <w:p>
      <w:pPr>
        <w:pStyle w:val="Heading3"/>
      </w:pPr>
      <w:bookmarkStart w:id="60" w:name="area-under-roc-curve"/>
      <w:r>
        <w:t xml:space="preserve">Area Under ROC Curve</w:t>
      </w:r>
      <w:bookmarkEnd w:id="60"/>
    </w:p>
    <w:p>
      <w:pPr>
        <w:pStyle w:val="FirstParagraph"/>
      </w:pPr>
      <w:r>
        <w:t xml:space="preserve">A classification model typically outputs a probability that a given case in the data belongs to a group. In the case of binary classification, the value falls between 0 and 1. There are many techniques for determining the cut off threshold for classification; a typical method is to assign anything above a 0.5 into the</w:t>
      </w:r>
      <w:r>
        <w:t xml:space="preserve"> </w:t>
      </w:r>
      <w:r>
        <w:t xml:space="preserve">“</w:t>
      </w:r>
      <w:r>
        <w:t xml:space="preserve">1</w:t>
      </w:r>
      <w:r>
        <w:t xml:space="preserve">”</w:t>
      </w:r>
      <w:r>
        <w:t xml:space="preserve"> </w:t>
      </w:r>
      <w:r>
        <w:t xml:space="preserve">or</w:t>
      </w:r>
      <w:r>
        <w:t xml:space="preserve"> </w:t>
      </w:r>
      <w:r>
        <w:t xml:space="preserve">“</w:t>
      </w:r>
      <w:r>
        <w:t xml:space="preserve">positive</w:t>
      </w:r>
      <w:r>
        <w:t xml:space="preserve">”</w:t>
      </w:r>
      <w:r>
        <w:t xml:space="preserve"> </w:t>
      </w:r>
      <w:r>
        <w:t xml:space="preserve">class. An ROC curve (receiver operating characteristic curve) plots the True Positive Rate vs. the False Positive rate at different classification thresholds; it is a measurement of the performance of a classification model across all possible thresholds, and therefore sidesteps the need to arbitrarily assign a cutoff.</w:t>
      </w:r>
    </w:p>
    <w:p>
      <w:pPr>
        <w:pStyle w:val="BodyText"/>
      </w:pPr>
      <w:r>
        <w:t xml:space="preserve">AUC measures the entire two-dimensional area underneath the ROC curve. It is the integration of the curve from (0,0) to (1,1), defined as</w:t>
      </w:r>
      <w:r>
        <w:t xml:space="preserve"> </w:t>
      </w:r>
      <m:oMath>
        <m:r>
          <m:t>A</m:t>
        </m:r>
        <m:r>
          <m:t>U</m:t>
        </m:r>
        <m:r>
          <m:t>C</m:t>
        </m:r>
        <m:r>
          <m:t>=</m:t>
        </m:r>
        <m:nary>
          <m:naryPr>
            <m:chr m:val="∫"/>
            <m:limLoc m:val="subSup"/>
            <m:subHide m:val="0"/>
            <m:supHide m:val="0"/>
          </m:naryPr>
          <m:sub>
            <m:r>
              <m:t>(</m:t>
            </m:r>
            <m:r>
              <m:t>0</m:t>
            </m:r>
            <m:r>
              <m:t>,</m:t>
            </m:r>
            <m:r>
              <m:t>0</m:t>
            </m:r>
            <m:r>
              <m:t>)</m:t>
            </m:r>
          </m:sub>
          <m:sup>
            <m:r>
              <m:t>(</m:t>
            </m:r>
            <m:r>
              <m:t>1</m:t>
            </m:r>
            <m:r>
              <m:t>,</m:t>
            </m:r>
            <m:r>
              <m:t>1</m:t>
            </m:r>
            <m:r>
              <m:t>)</m:t>
            </m:r>
          </m:sup>
          <m:e>
            <m:r>
              <m:t>f</m:t>
            </m:r>
          </m:e>
        </m:nary>
        <m:r>
          <m:t>(</m:t>
        </m:r>
        <m:r>
          <m:t>x</m:t>
        </m:r>
        <m:r>
          <m:t>)</m:t>
        </m:r>
        <m:r>
          <m:t>d</m:t>
        </m:r>
        <m:r>
          <m:t>x</m:t>
        </m:r>
      </m:oMath>
      <w:r>
        <w:t xml:space="preserve">. AUC enumerates the probability that the model ranks a random positive example more highly than a random negative example. A value of 0.5 represents a perfectly random model, while a value of 1.0 represents a model that can perfectly discriminate between the two classes. AUC is useful for comparing classification models against one another because they are both scale and threshold-invariant.</w:t>
      </w:r>
    </w:p>
    <w:p>
      <w:pPr>
        <w:pStyle w:val="BodyText"/>
      </w:pPr>
      <w:r>
        <w:t xml:space="preserve">One of the drawbacks to AUC is that it does not describe the trade-offs between false positives and false negatives. In certain circumstances, a false positive might be considerably less desirable than a false negative, or vice-versa. For our purposes, we rank false positives and false negatives as equally undesirable outcomes.</w:t>
      </w:r>
    </w:p>
    <w:p>
      <w:pPr>
        <w:pStyle w:val="Heading3"/>
      </w:pPr>
      <w:bookmarkStart w:id="61" w:name="root-mean-squared-error"/>
      <w:r>
        <w:t xml:space="preserve">Root Mean Squared Error</w:t>
      </w:r>
      <w:bookmarkEnd w:id="61"/>
    </w:p>
    <w:p>
      <w:pPr>
        <w:pStyle w:val="FirstParagraph"/>
      </w:pPr>
      <w:r>
        <w:t xml:space="preserve">RMSE is a common measurement of the differences between values predicted by a regression model and the observed values. It is formally defined as</w:t>
      </w:r>
      <w:r>
        <w:t xml:space="preserve"> </w:t>
      </w:r>
      <m:oMath>
        <m:r>
          <m:t>R</m:t>
        </m:r>
        <m:r>
          <m:t>M</m:t>
        </m:r>
        <m:r>
          <m:t>S</m:t>
        </m:r>
        <m:r>
          <m:t>E</m:t>
        </m:r>
        <m:r>
          <m:t>=</m:t>
        </m:r>
        <m:rad>
          <m:radPr>
            <m:degHide m:val="1"/>
          </m:radPr>
          <m:deg/>
          <m:e>
            <m:f>
              <m:fPr>
                <m:type m:val="bar"/>
              </m:fPr>
              <m:num>
                <m:nary>
                  <m:naryPr>
                    <m:chr m:val="∑"/>
                    <m:limLoc m:val="undOvr"/>
                    <m:subHide m:val="0"/>
                    <m:supHide m:val="0"/>
                  </m:naryPr>
                  <m:sub>
                    <m:r>
                      <m:t>1</m:t>
                    </m:r>
                  </m:sub>
                  <m:sup>
                    <m:r>
                      <m:t>T</m:t>
                    </m:r>
                  </m:sup>
                  <m:e>
                    <m:r>
                      <m:t>(</m:t>
                    </m:r>
                  </m:e>
                </m:nary>
                <m:sSub>
                  <m:e>
                    <m:acc>
                      <m:accPr>
                        <m:chr m:val="̂"/>
                      </m:accPr>
                      <m:e>
                        <m:r>
                          <m:t>y</m:t>
                        </m:r>
                      </m:e>
                    </m:acc>
                  </m:e>
                  <m:sub>
                    <m:r>
                      <m:t>t</m:t>
                    </m:r>
                  </m:sub>
                </m:sSub>
                <m:r>
                  <m:t>−</m:t>
                </m:r>
                <m:sSub>
                  <m:e>
                    <m:r>
                      <m:t>y</m:t>
                    </m:r>
                  </m:e>
                  <m:sub>
                    <m:r>
                      <m:t>t</m:t>
                    </m:r>
                  </m:sub>
                </m:sSub>
                <m:sSup>
                  <m:e>
                    <m:r>
                      <m:t>)</m:t>
                    </m:r>
                  </m:e>
                  <m:sup>
                    <m:r>
                      <m:t>2</m:t>
                    </m:r>
                  </m:sup>
                </m:sSup>
              </m:num>
              <m:den>
                <m:r>
                  <m:t>T</m:t>
                </m:r>
              </m:den>
            </m:f>
          </m:e>
        </m:rad>
      </m:oMath>
      <w:r>
        <w:t xml:space="preserve">, where</w:t>
      </w:r>
      <w:r>
        <w:t xml:space="preserve"> </w:t>
      </w:r>
      <m:oMath>
        <m:acc>
          <m:accPr>
            <m:chr m:val="̂"/>
          </m:accPr>
          <m:e>
            <m:r>
              <m:t>y</m:t>
            </m:r>
          </m:e>
        </m:acc>
      </m:oMath>
      <w:r>
        <w:t xml:space="preserve"> </w:t>
      </w:r>
      <w:r>
        <w:t xml:space="preserve">represents the prediction and</w:t>
      </w:r>
      <w:r>
        <w:t xml:space="preserve"> </w:t>
      </w:r>
      <m:oMath>
        <m:r>
          <m:t>y</m:t>
        </m:r>
      </m:oMath>
      <w:r>
        <w:t xml:space="preserve"> </w:t>
      </w:r>
      <w:r>
        <w:t xml:space="preserve">represents the observed value at observation</w:t>
      </w:r>
      <w:r>
        <w:t xml:space="preserve"> </w:t>
      </w:r>
      <m:oMath>
        <m:r>
          <m:t>t</m:t>
        </m:r>
      </m:oMath>
      <w:r>
        <w:t xml:space="preserve">.</w:t>
      </w:r>
    </w:p>
    <w:p>
      <w:pPr>
        <w:pStyle w:val="BodyText"/>
      </w:pPr>
      <w:r>
        <w:t xml:space="preserve">Lower RMSE scores are typically more desirable. An RMSE value of 0 would indicate a perfect fit to the data. RMSE can be difficult to interpret on its own; however, it is useful for comparing models with similar outcome variables. In our case, the outcome variables (Sales Price per Square Foot) are consistent across modeling datasets, and therefore can be reasonably compared using RMSE.</w:t>
      </w:r>
    </w:p>
    <w:p>
      <w:pPr>
        <w:pStyle w:val="Heading1"/>
      </w:pPr>
      <w:bookmarkStart w:id="62" w:name="results"/>
      <w:r>
        <w:t xml:space="preserve">Results</w:t>
      </w:r>
      <w:bookmarkEnd w:id="62"/>
    </w:p>
    <w:p>
      <w:pPr>
        <w:pStyle w:val="Heading2"/>
      </w:pPr>
      <w:bookmarkStart w:id="63" w:name="summary-of-results"/>
      <w:r>
        <w:t xml:space="preserve">Summary of Results</w:t>
      </w:r>
      <w:bookmarkEnd w:id="63"/>
    </w:p>
    <w:p>
      <w:pPr>
        <w:pStyle w:val="FirstParagraph"/>
      </w:pPr>
      <w:r>
        <w:t xml:space="preserve">We have conducted comparative analyses across a two-stage modeling process. In Stage 1, using the Random Forest algorithm, we tested 3 competing feature engineering techniques (base, zip-code aggregation, and spatial-lag aggregation) for both a classification task (predicting the occurrence of a building sale) and a regression task (predicting the sale price of a building). We analyzed the results of the first stage to identify which geographies and building types our model assumptions worked best. In Stage 2, using a subset of the modeling data (selected via an analysis of the output from Stage 1), we compared four algorithms – GLM, Random Forest, GBM and ANN – across our 3 competing feature engineering techniques for both classification and regression tasks. We analyzed the performance of the different model/data combos as well as conducted an analysis of the variable importances for the top performing models.</w:t>
      </w:r>
    </w:p>
    <w:p>
      <w:pPr>
        <w:pStyle w:val="BodyText"/>
      </w:pPr>
      <w:r>
        <w:t xml:space="preserve">In Stage 1 (Random Forest, using all data), we found that models which utilized spatial features outperformed those models using zip-code features the majority of the time for both classification and regression. Of three models, the Sale Price Regression model using Spatial features finished 1st or 2nd 24.1% of the time (using RMSE as a ranking criterion), while the Zip Code Regression model finished in the top two spots only 11.2% of the time. Both models performed worse than the Base Regression model overall, which ranked in 1st or 2nd place 31.5% of the time. The story for the classification models was largely the same: the Spatial features tended to outperform the Zip Code data while the Base data won out overall. All models had similar performances on training data, but the Spatial and Zip Code datasets tended to underperform when generalizing to the hold-out test data, suggesting problems with overfitting.</w:t>
      </w:r>
    </w:p>
    <w:p>
      <w:pPr>
        <w:pStyle w:val="BodyText"/>
      </w:pPr>
      <w:r>
        <w:t xml:space="preserve">We then analyzed the performance of both the regression and classification Random Forest models by geography and building type. We found that the models performed considerably better on Walk Up Apartments and Elevator Buildings (building types C and D) and in Manhattan, Brooklyn and the Bronx. Using these as filtering criteria, we created a subset of the modeling data for the subsequent modeling stage.</w:t>
      </w:r>
    </w:p>
    <w:p>
      <w:pPr>
        <w:pStyle w:val="BodyText"/>
      </w:pPr>
      <w:r>
        <w:t xml:space="preserve">During Stage 2 (many algorithms using a subset of modeling data), we compared four algorithms across the same three competing feature engineering techniques using a filtered subset of the original modeling data. Unequivocally, the spatial features performed best across all models and tasks. For the classification task, the GBM algorithms performed best in terms of AUC, followed by ANN and Random Forest. For regression, the ANN algorithms performed best (as measured by RMSE as well as Mean Absolute Error and R-squared) with the spatial features ANN model performing best.</w:t>
      </w:r>
    </w:p>
    <w:p>
      <w:pPr>
        <w:pStyle w:val="BodyText"/>
      </w:pPr>
      <w:r>
        <w:t xml:space="preserve">We conclude that spatial lag features can significantly increase the accuracy of machine learning-based real estate sale prediction models. We find that model overfitting presents a challenge when using spatial features, but that this can be overcome by implementing different algorithms, specifically ANN and GBM. Finally, we find that our implementation of spatial-lag features works best for certain kinds of buildings in specific geographic areas, and we hypothesize that this is due to the assumptions made when building the spatial features.</w:t>
      </w:r>
    </w:p>
    <w:p>
      <w:pPr>
        <w:pStyle w:val="Heading2"/>
      </w:pPr>
      <w:bookmarkStart w:id="64" w:name="stage-1-random-forest-models-using-all-data"/>
      <w:r>
        <w:t xml:space="preserve">Stage 1) Random Forest Models Using All Data</w:t>
      </w:r>
      <w:bookmarkEnd w:id="64"/>
    </w:p>
    <w:p>
      <w:pPr>
        <w:pStyle w:val="Heading3"/>
      </w:pPr>
      <w:bookmarkStart w:id="65" w:name="sale-price-regression-models"/>
      <w:r>
        <w:t xml:space="preserve">Sale Price Regression Models</w:t>
      </w:r>
      <w:bookmarkEnd w:id="65"/>
    </w:p>
    <w:p>
      <w:pPr>
        <w:pStyle w:val="FirstParagraph"/>
      </w:pPr>
      <w:r>
        <w:t xml:space="preserve">We analyzed the RMSE of the Random Forest models predicting Sale Price across feature engineering methods, Borough and Building Type. Table</w:t>
      </w:r>
      <w:r>
        <w:t xml:space="preserve"> </w:t>
      </w:r>
      <w:r>
        <w:t xml:space="preserve"> </w:t>
      </w:r>
      <w:r>
        <w:t xml:space="preserve">displays the average ranking by model type as well as the distribution of models that ranked first, second and third for each respective Borough/Building Type combination. When we rank the models by performance for each Borough, Building Type combination, we find that the Spatial Lag models outperform the Zip Code models in 72% of cases with an average model-rank of 2.11 and 2.5, respectively.</w:t>
      </w:r>
    </w:p>
    <w:p>
      <w:pPr>
        <w:pStyle w:val="BodyText"/>
      </w:pPr>
      <w:r>
        <w:t xml:space="preserve">The Base modeling dataset tends to outperform both enriched datasets, suggesting an issue with model overfitting in some areas. We see further evidence of overfitting in Table</w:t>
      </w:r>
      <w:r>
        <w:t xml:space="preserve"> </w:t>
      </w:r>
      <w:r>
        <w:t xml:space="preserve"> </w:t>
      </w:r>
      <w:r>
        <w:t xml:space="preserve">where, despite similar performances on Validation data, the Zip and Spatial models have higher validation-to-test-set spreads. Despite this, the Spatial Lag features outperform all other models in specific locations, notably in Manhattan as shown in Figure</w:t>
      </w:r>
      <w:r>
        <w:t xml:space="preserve"> </w:t>
      </w:r>
      <w:r>
        <w:t xml:space="preserve">.</w:t>
      </w:r>
    </w:p>
    <w:p>
      <w:pPr>
        <w:pStyle w:val="CaptionedFigure"/>
      </w:pPr>
      <w:r>
        <w:drawing>
          <wp:inline>
            <wp:extent cx="5334000" cy="5334000"/>
            <wp:effectExtent b="0" l="0" r="0" t="0"/>
            <wp:docPr descr="RMSE By Borough and Building Type" title="" id="1" name="Picture"/>
            <a:graphic>
              <a:graphicData uri="http://schemas.openxmlformats.org/drawingml/2006/picture">
                <pic:pic>
                  <pic:nvPicPr>
                    <pic:cNvPr descr="Sections/tables%20and%20figures/RMSE%20by%20boro%20and%20build%20type.jpe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RMSE By Borough and Building Type</w:t>
      </w:r>
    </w:p>
    <w:p>
      <w:pPr>
        <w:pStyle w:val="BodyText"/>
      </w:pPr>
      <w:r>
        <w:t xml:space="preserve">Figure</w:t>
      </w:r>
      <w:r>
        <w:t xml:space="preserve"> </w:t>
      </w:r>
      <w:r>
        <w:t xml:space="preserve"> </w:t>
      </w:r>
      <w:r>
        <w:t xml:space="preserve">displays test RMSE by model, faceted by Borough on the y-axis and Building Type on the x-axis (See Table</w:t>
      </w:r>
      <w:r>
        <w:t xml:space="preserve"> </w:t>
      </w:r>
      <w:r>
        <w:t xml:space="preserve"> </w:t>
      </w:r>
      <w:r>
        <w:t xml:space="preserve">and Table</w:t>
      </w:r>
      <w:r>
        <w:t xml:space="preserve"> </w:t>
      </w:r>
      <w:r>
        <w:t xml:space="preserve"> </w:t>
      </w:r>
      <w:r>
        <w:t xml:space="preserve">for a description of building type codes). We make the following observations from Figure</w:t>
      </w:r>
      <w:r>
        <w:t xml:space="preserve"> </w:t>
      </w:r>
      <w:r>
        <w:t xml:space="preserve">:</w:t>
      </w:r>
    </w:p>
    <w:p>
      <w:pPr>
        <w:pStyle w:val="Compact"/>
        <w:numPr>
          <w:numId w:val="1007"/>
          <w:ilvl w:val="0"/>
        </w:numPr>
      </w:pPr>
      <w:r>
        <w:t xml:space="preserve">The Spatial modeling data outperforms both Base and Zip Code in 6 cases, notably for Type A buildings (One Family Dwellings) and Type L buildings (Lofts) in Manhattan as well as Type O Buildings (Office) in Queens</w:t>
      </w:r>
    </w:p>
    <w:p>
      <w:pPr>
        <w:pStyle w:val="Compact"/>
        <w:numPr>
          <w:numId w:val="1007"/>
          <w:ilvl w:val="0"/>
        </w:numPr>
      </w:pPr>
      <w:r>
        <w:t xml:space="preserve">The</w:t>
      </w:r>
      <w:r>
        <w:t xml:space="preserve"> </w:t>
      </w:r>
      <w:r>
        <w:t xml:space="preserve">“</w:t>
      </w:r>
      <w:r>
        <w:t xml:space="preserve">residential</w:t>
      </w:r>
      <w:r>
        <w:t xml:space="preserve">”</w:t>
      </w:r>
      <w:r>
        <w:t xml:space="preserve"> </w:t>
      </w:r>
      <w:r>
        <w:t xml:space="preserve">building Types A (One-family Dwellings), B (Two Family Dwellings), C (Walk Up Apartments) and D (Elevator Apartments) have generally lower RMSE scores compared to the non-residential types</w:t>
      </w:r>
    </w:p>
    <w:p>
      <w:pPr>
        <w:pStyle w:val="Compact"/>
        <w:numPr>
          <w:numId w:val="1007"/>
          <w:ilvl w:val="0"/>
        </w:numPr>
      </w:pPr>
      <w:r>
        <w:t xml:space="preserve">Spatial features perform best in Brooklyn, Bronx and Manhattan and for residential building types</w:t>
      </w:r>
    </w:p>
    <w:p>
      <w:pPr>
        <w:pStyle w:val="Heading3"/>
      </w:pPr>
      <w:bookmarkStart w:id="67" w:name="probability-of-sale-classification-models"/>
      <w:r>
        <w:t xml:space="preserve">Probability of Sale Classification Models</w:t>
      </w:r>
      <w:bookmarkEnd w:id="67"/>
    </w:p>
    <w:p>
      <w:pPr>
        <w:pStyle w:val="FirstParagraph"/>
      </w:pPr>
      <w:r>
        <w:t xml:space="preserve">Similar to the results of the Sale Price regression models we find the Spatial models perform better on the hold-out test data compared to the Zip Code data when using Area Under the ROC Curve (AUC) as an evaluation metric, as shown in Table</w:t>
      </w:r>
      <w:r>
        <w:t xml:space="preserve"> </w:t>
      </w:r>
      <w:r>
        <w:t xml:space="preserve">. The Base Modeling data continues to outperform the Spatial and Zip Code data overall.</w:t>
      </w:r>
    </w:p>
    <w:p>
      <w:pPr>
        <w:pStyle w:val="BodyText"/>
      </w:pPr>
      <w:r>
        <w:t xml:space="preserve">Figure</w:t>
      </w:r>
      <w:r>
        <w:t xml:space="preserve"> </w:t>
      </w:r>
      <w:r>
        <w:t xml:space="preserve"> </w:t>
      </w:r>
      <w:r>
        <w:t xml:space="preserve">shows a breakdown of model AUC faceted along the x-axis by Building Type and along the y-axis by Borough. The coloring indicates by how much a model’s AUC diverges from the cell average, which is useful for spotting over performers. We make the following observations about Figure</w:t>
      </w:r>
      <w:r>
        <w:t xml:space="preserve"> </w:t>
      </w:r>
      <w:r>
        <w:t xml:space="preserve">:</w:t>
      </w:r>
    </w:p>
    <w:p>
      <w:pPr>
        <w:pStyle w:val="Compact"/>
        <w:numPr>
          <w:numId w:val="1008"/>
          <w:ilvl w:val="0"/>
        </w:numPr>
      </w:pPr>
      <w:r>
        <w:t xml:space="preserve">The Spatial models outperform all other models for Elevator Buildings (Type D) and Walk Up Apartments (Type C), particularly in Brooklyn, the Bronx, and Manhattan</w:t>
      </w:r>
    </w:p>
    <w:p>
      <w:pPr>
        <w:pStyle w:val="Compact"/>
        <w:numPr>
          <w:numId w:val="1008"/>
          <w:ilvl w:val="0"/>
        </w:numPr>
      </w:pPr>
      <w:r>
        <w:t xml:space="preserve">Classification tends to perform poorly in Manhattan vs. other Boroughs</w:t>
      </w:r>
    </w:p>
    <w:p>
      <w:pPr>
        <w:pStyle w:val="Compact"/>
        <w:numPr>
          <w:numId w:val="1008"/>
          <w:ilvl w:val="0"/>
        </w:numPr>
      </w:pPr>
      <w:r>
        <w:t xml:space="preserve">The Spatial models perform well in Manhattan for the residential building types (A, B, C and D)</w:t>
      </w:r>
    </w:p>
    <w:p>
      <w:pPr>
        <w:pStyle w:val="CaptionedFigure"/>
      </w:pPr>
      <w:r>
        <w:drawing>
          <wp:inline>
            <wp:extent cx="5334000" cy="5334000"/>
            <wp:effectExtent b="0" l="0" r="0" t="0"/>
            <wp:docPr descr="AUC By Borough and Building Type" title="" id="1" name="Picture"/>
            <a:graphic>
              <a:graphicData uri="http://schemas.openxmlformats.org/drawingml/2006/picture">
                <pic:pic>
                  <pic:nvPicPr>
                    <pic:cNvPr descr="Sections/tables%20and%20figures/AUC%20by%20boro%20and%20build%20type.jpeg"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AUC By Borough and Building Type</w:t>
      </w:r>
    </w:p>
    <w:p>
      <w:pPr>
        <w:pStyle w:val="BodyText"/>
      </w:pPr>
      <w:r>
        <w:t xml:space="preserve">If we rank the classification models’ performance for each Borough and Building Type, we see that the Spatial models consistently outperform the Zip Code models, as shown in Table</w:t>
      </w:r>
      <w:r>
        <w:t xml:space="preserve"> </w:t>
      </w:r>
      <w:r>
        <w:t xml:space="preserve">. From this (as well as from similar patterns seen in the regression models) we can infer that the Spatial data is a superior data engineering technique; however, the algorithm used needs to account for potential model overfitting. In the next section, we discuss refining the data used as well as employing different algorithms to maximize the predictive capability of the Spatial features.</w:t>
      </w:r>
    </w:p>
    <w:p>
      <w:pPr>
        <w:pStyle w:val="Heading2"/>
      </w:pPr>
      <w:bookmarkStart w:id="69" w:name="stage-2-model-comparisons-using-specific-geographies-and-building-types"/>
      <w:r>
        <w:t xml:space="preserve">Stage 2) Model Comparisons Using Specific Geographies and Building Types</w:t>
      </w:r>
      <w:bookmarkEnd w:id="69"/>
    </w:p>
    <w:p>
      <w:pPr>
        <w:pStyle w:val="FirstParagraph"/>
      </w:pPr>
      <w:r>
        <w:t xml:space="preserve">Using the results from the first modeling exercise, we conclude that Walk Up Apartments and Elevator Buildings in Manhattan, Brooklyn and the Bronx are suitable candidates for prediction using our current assumptions. These buildings share the characteristics of being residential as well as being reasonably uniform in their geographic density. We analyze the performance of four algorithms (GLM, RF, GBM, and ANN), using three feature engineering techniques, for both classification and regression, making the total number</w:t>
      </w:r>
      <w:r>
        <w:t xml:space="preserve"> </w:t>
      </w:r>
      <w:r>
        <w:rPr>
          <w:rStyle w:val="VerbatimChar"/>
        </w:rPr>
        <w:t xml:space="preserve">4 x 3 x 2 = 24</w:t>
      </w:r>
      <w:r>
        <w:t xml:space="preserve"> </w:t>
      </w:r>
      <w:r>
        <w:t xml:space="preserve">models.</w:t>
      </w:r>
    </w:p>
    <w:p>
      <w:pPr>
        <w:pStyle w:val="Heading3"/>
      </w:pPr>
      <w:bookmarkStart w:id="70" w:name="regression-model-comparisons"/>
      <w:r>
        <w:t xml:space="preserve">Regression Model Comparisons</w:t>
      </w:r>
      <w:bookmarkEnd w:id="70"/>
    </w:p>
    <w:p>
      <w:pPr>
        <w:pStyle w:val="FirstParagraph"/>
      </w:pPr>
      <w:r>
        <w:t xml:space="preserve">The predictive accuracies of the various regression models were evaluated using RMSE, described in detail in the methodology section, as well as Mean Absolute Error (MAE), Mean Squared Error (MSE) and R-Squared. These four indicators were calculated using the hold-out test data, which ensured that the models performed well when predicting sale prices into the near future. The comparison metrics are presented in Table</w:t>
      </w:r>
      <w:r>
        <w:t xml:space="preserve"> </w:t>
      </w:r>
      <w:r>
        <w:t xml:space="preserve"> </w:t>
      </w:r>
      <w:r>
        <w:t xml:space="preserve">and Figure</w:t>
      </w:r>
      <w:r>
        <w:t xml:space="preserve"> </w:t>
      </w:r>
      <w:r>
        <w:t xml:space="preserve">. We make the following observations about Table</w:t>
      </w:r>
      <w:r>
        <w:t xml:space="preserve"> </w:t>
      </w:r>
      <w:r>
        <w:t xml:space="preserve"> </w:t>
      </w:r>
      <w:r>
        <w:t xml:space="preserve">and Figure</w:t>
      </w:r>
      <w:r>
        <w:t xml:space="preserve"> </w:t>
      </w:r>
      <w:r>
        <w:t xml:space="preserve">:</w:t>
      </w:r>
    </w:p>
    <w:p>
      <w:pPr>
        <w:pStyle w:val="Compact"/>
        <w:numPr>
          <w:numId w:val="1009"/>
          <w:ilvl w:val="0"/>
        </w:numPr>
      </w:pPr>
      <w:r>
        <w:t xml:space="preserve">The ANN models perform best in nearly every metric across nearly all feature sets, with GBM a close second in some circumstances</w:t>
      </w:r>
    </w:p>
    <w:p>
      <w:pPr>
        <w:pStyle w:val="Compact"/>
        <w:numPr>
          <w:numId w:val="1009"/>
          <w:ilvl w:val="0"/>
        </w:numPr>
      </w:pPr>
      <w:r>
        <w:t xml:space="preserve">ANN and GLM improve linearly in all metrics as you move from Base to Zip to Spatial, with Spatial performing the best. GBM and Random Forest, on the other hand, perform best on the Base and Spatial feature sets and poorly on the Zip features</w:t>
      </w:r>
    </w:p>
    <w:p>
      <w:pPr>
        <w:pStyle w:val="Compact"/>
        <w:numPr>
          <w:numId w:val="1009"/>
          <w:ilvl w:val="0"/>
        </w:numPr>
      </w:pPr>
      <w:r>
        <w:t xml:space="preserve">We see a similar pattern in the Random Forest results compared to the previous modeling exercise using the full dataset: Base Features outperform both Spatial and Zip, with Spatial coming in second consistently. This pattern further validates our reasoning that Spatial features are highly predictive but suffer from overfitting and other algorithm-related reasons</w:t>
      </w:r>
    </w:p>
    <w:p>
      <w:pPr>
        <w:pStyle w:val="Compact"/>
        <w:numPr>
          <w:numId w:val="1009"/>
          <w:ilvl w:val="0"/>
        </w:numPr>
      </w:pPr>
      <w:r>
        <w:t xml:space="preserve">The highest model R-Squared is the ANN using Spatial features at 0.494, indicating that this model can account for nearly 50% of the variance in the test data. Compared to the R-Squared of the more traditional Base GLM at 0.12, this represents a more than 3-fold improvement in predictive accuracy</w:t>
      </w:r>
    </w:p>
    <w:p>
      <w:pPr>
        <w:pStyle w:val="CaptionedFigure"/>
      </w:pPr>
      <w:r>
        <w:drawing>
          <wp:inline>
            <wp:extent cx="5334000" cy="5334000"/>
            <wp:effectExtent b="0" l="0" r="0" t="0"/>
            <wp:docPr descr="Comparative Regression Metrics" title="" id="1" name="Picture"/>
            <a:graphic>
              <a:graphicData uri="http://schemas.openxmlformats.org/drawingml/2006/picture">
                <pic:pic>
                  <pic:nvPicPr>
                    <pic:cNvPr descr="Sections/tables%20and%20figures/compare_reg_model_rmse.jpe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Comparative Regression Metrics</w:t>
      </w:r>
    </w:p>
    <w:p>
      <w:pPr>
        <w:pStyle w:val="BodyText"/>
      </w:pPr>
      <w:r>
        <w:t xml:space="preserve">Figure</w:t>
      </w:r>
      <w:r>
        <w:t xml:space="preserve"> </w:t>
      </w:r>
      <w:r>
        <w:t xml:space="preserve"> </w:t>
      </w:r>
      <w:r>
        <w:t xml:space="preserve">shows clusters of performance across R-Squared and Mean Absolute Error, with the ANN models outperforming their peers. This figure also makes clear that the marriage of Spatial features with the ANN algorithm results in a dramatic reduction in error rate compared to the other techniques.</w:t>
      </w:r>
    </w:p>
    <w:p>
      <w:pPr>
        <w:pStyle w:val="CaptionedFigure"/>
      </w:pPr>
      <w:r>
        <w:drawing>
          <wp:inline>
            <wp:extent cx="5334000" cy="5334000"/>
            <wp:effectExtent b="0" l="0" r="0" t="0"/>
            <wp:docPr descr="Regression Model Performances On Test Data" title="" id="1" name="Picture"/>
            <a:graphic>
              <a:graphicData uri="http://schemas.openxmlformats.org/drawingml/2006/picture">
                <pic:pic>
                  <pic:nvPicPr>
                    <pic:cNvPr descr="Sections/tables%20and%20figures/reg_model_results_scatterplot.jpeg" id="0"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Regression Model Performances On Test Data</w:t>
      </w:r>
    </w:p>
    <w:p>
      <w:pPr>
        <w:pStyle w:val="Heading3"/>
      </w:pPr>
      <w:bookmarkStart w:id="73" w:name="classification-model-comparisons"/>
      <w:r>
        <w:t xml:space="preserve">Classification Model Comparisons</w:t>
      </w:r>
      <w:bookmarkEnd w:id="73"/>
    </w:p>
    <w:p>
      <w:pPr>
        <w:pStyle w:val="FirstParagraph"/>
      </w:pPr>
      <w:r>
        <w:t xml:space="preserve">The classification models were assessed using AUC as well as MSE, RMSE, and R-squared. As with the regression models, these four metrics were calculated using the hold-out test data, ensuring that the models generalize well into the near future. The comparison metrics are presented in Table</w:t>
      </w:r>
      <w:r>
        <w:t xml:space="preserve"> </w:t>
      </w:r>
      <w:r>
        <w:t xml:space="preserve">. Figure</w:t>
      </w:r>
      <w:r>
        <w:t xml:space="preserve"> </w:t>
      </w:r>
      <w:r>
        <w:t xml:space="preserve"> </w:t>
      </w:r>
      <w:r>
        <w:t xml:space="preserve">shows the ROC curves and corresponding AUC for each algorithm/feature set combination.</w:t>
      </w:r>
    </w:p>
    <w:p>
      <w:pPr>
        <w:pStyle w:val="BodyText"/>
      </w:pPr>
      <w:r>
        <w:t xml:space="preserve">We make the following observations of Table</w:t>
      </w:r>
      <w:r>
        <w:t xml:space="preserve"> </w:t>
      </w:r>
      <w:r>
        <w:t xml:space="preserve"> </w:t>
      </w:r>
      <w:r>
        <w:t xml:space="preserve">and Figure</w:t>
      </w:r>
      <w:r>
        <w:t xml:space="preserve"> </w:t>
      </w:r>
      <w:r>
        <w:t xml:space="preserve">:</w:t>
      </w:r>
    </w:p>
    <w:p>
      <w:pPr>
        <w:pStyle w:val="Compact"/>
        <w:numPr>
          <w:numId w:val="1010"/>
          <w:ilvl w:val="0"/>
        </w:numPr>
      </w:pPr>
      <w:r>
        <w:t xml:space="preserve">Unlike the regression models, the GBM algorithm with Spatial features proved to be the best performing classifier. All Spatial models performed relatively well except the GLM Spatial model</w:t>
      </w:r>
    </w:p>
    <w:p>
      <w:pPr>
        <w:pStyle w:val="Compact"/>
        <w:numPr>
          <w:numId w:val="1010"/>
          <w:ilvl w:val="0"/>
        </w:numPr>
      </w:pPr>
      <w:r>
        <w:t xml:space="preserve">Only 3 models have positive R-Squared values: ANN Spatial, RF Spatial, and GLM Base, indicating that these models are adept at predicting positive cases (occurrences of sales) in the test data</w:t>
      </w:r>
    </w:p>
    <w:p>
      <w:pPr>
        <w:pStyle w:val="Compact"/>
        <w:numPr>
          <w:numId w:val="1010"/>
          <w:ilvl w:val="0"/>
        </w:numPr>
      </w:pPr>
      <w:r>
        <w:t xml:space="preserve">GLM Spatial returned an AUC of less than 0.5, indicating a model that is conceptually worse than random. This is likely the result of overfitting</w:t>
      </w:r>
    </w:p>
    <w:p>
      <w:pPr>
        <w:pStyle w:val="CaptionedFigure"/>
      </w:pPr>
      <w:r>
        <w:drawing>
          <wp:inline>
            <wp:extent cx="5334000" cy="5334000"/>
            <wp:effectExtent b="0" l="0" r="0" t="0"/>
            <wp:docPr descr="Comparison of Classification Model ROC Curves" title="" id="1" name="Picture"/>
            <a:graphic>
              <a:graphicData uri="http://schemas.openxmlformats.org/drawingml/2006/picture">
                <pic:pic>
                  <pic:nvPicPr>
                    <pic:cNvPr descr="Sections/tables%20and%20figures/compare_model_roc_curves.jpeg" id="0"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Comparison of Classification Model ROC Curves</w:t>
      </w:r>
    </w:p>
    <w:p>
      <w:pPr>
        <w:pStyle w:val="BodyText"/>
      </w:pPr>
      <w:r>
        <w:t xml:space="preserve">Figure</w:t>
      </w:r>
      <w:r>
        <w:t xml:space="preserve"> </w:t>
      </w:r>
      <w:r>
        <w:t xml:space="preserve"> </w:t>
      </w:r>
      <w:r>
        <w:t xml:space="preserve">plots the individual models by AUC and R-Squared. The Spatial models tend to outperform the other models by a significant margin. Interestingly, when compared to the regression model scatterplot in Figure</w:t>
      </w:r>
      <w:r>
        <w:t xml:space="preserve"> </w:t>
      </w:r>
      <w:r>
        <w:t xml:space="preserve">, the classification models tend to cluster in their performance by feature set. In</w:t>
      </w:r>
      <w:r>
        <w:t xml:space="preserve"> </w:t>
      </w:r>
      <w:r>
        <w:t xml:space="preserve">, we see the regression models tending to cluster by algorithm rather than features.</w:t>
      </w:r>
    </w:p>
    <w:p>
      <w:pPr>
        <w:pStyle w:val="CaptionedFigure"/>
      </w:pPr>
      <w:r>
        <w:drawing>
          <wp:inline>
            <wp:extent cx="5334000" cy="5334000"/>
            <wp:effectExtent b="0" l="0" r="0" t="0"/>
            <wp:docPr descr="Scatterplot of Classification Models" title="" id="1" name="Picture"/>
            <a:graphic>
              <a:graphicData uri="http://schemas.openxmlformats.org/drawingml/2006/picture">
                <pic:pic>
                  <pic:nvPicPr>
                    <pic:cNvPr descr="Sections/tables%20and%20figures/class_model_results_scatterplot.jpe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Scatterplot of Classification Models</w:t>
      </w:r>
    </w:p>
    <w:p>
      <w:pPr>
        <w:pStyle w:val="Heading2"/>
      </w:pPr>
      <w:bookmarkStart w:id="76" w:name="variable-importance-analysis-of-top-performing-models"/>
      <w:r>
        <w:t xml:space="preserve">Variable Importance Analysis of Top Performing Models</w:t>
      </w:r>
      <w:bookmarkEnd w:id="76"/>
    </w:p>
    <w:p>
      <w:pPr>
        <w:pStyle w:val="FirstParagraph"/>
      </w:pPr>
      <w:r>
        <w:t xml:space="preserve">We calculated feature importance for each variable as the proportional to the average decrease in the squared error after including that variable in the model. The most important variable gets a score of 1; scores for other variables are derived by standardizing their measured reduction in error relative to the largest one. The top 10 variables for both the most successful regression and most successful classification models are presented in tables</w:t>
      </w:r>
      <w:r>
        <w:t xml:space="preserve"> </w:t>
      </w:r>
      <w:r>
        <w:t xml:space="preserve"> </w:t>
      </w:r>
      <w:r>
        <w:t xml:space="preserve">and</w:t>
      </w:r>
      <w:r>
        <w:t xml:space="preserve"> </w:t>
      </w:r>
      <w:r>
        <w:t xml:space="preserve">.</w:t>
      </w:r>
    </w:p>
    <w:p>
      <w:pPr>
        <w:pStyle w:val="BodyText"/>
      </w:pPr>
      <w:r>
        <w:t xml:space="preserve">We observe that the regression model has a much higher dispersion of feature importances compared to the classification model. The top variable in the regression model, BuiltFAR, which is a measure of how much of a building’s floor to area ratio has been used (a proxy for overall building size) contributes only 1.8% of the reduction in the error rate in the overall model. Conversely, in the classification model, we see the top variable,</w:t>
      </w:r>
      <w:r>
        <w:t xml:space="preserve"> </w:t>
      </w:r>
      <w:r>
        <w:t xml:space="preserve">“</w:t>
      </w:r>
      <w:r>
        <w:t xml:space="preserve">Percent_Neighbors_Sold</w:t>
      </w:r>
      <w:r>
        <w:t xml:space="preserve">”</w:t>
      </w:r>
      <w:r>
        <w:t xml:space="preserve"> </w:t>
      </w:r>
      <w:r>
        <w:t xml:space="preserve">(a measure of how many buildings within 500 meters were sold in the past year) contributes 21.9% of the total reduction in squared error.</w:t>
      </w:r>
    </w:p>
    <w:p>
      <w:pPr>
        <w:pStyle w:val="BodyText"/>
      </w:pPr>
      <w:r>
        <w:t xml:space="preserve">Variable importance analysis of the regression model indicates that the model favors variables which reflect building size (BuiltFAR, FacilFAR, BldgDepth) as well as approximations for previous sale prices (Last_Sale_Price and Last_Sale_Date). The classification model tends to favor spatial lag features, such as how many buildings were sold in the past year within 500 meters (Percent_Neighbors_Sold and Radius_Res_Units_Sold_In_Year) as well as characteristics of the building function (Percent_Office, Percent_Storage, etc.).</w:t>
      </w:r>
    </w:p>
    <w:p>
      <w:pPr>
        <w:pStyle w:val="Heading1"/>
      </w:pPr>
      <w:bookmarkStart w:id="77" w:name="future-research-and-conclusions"/>
      <w:r>
        <w:t xml:space="preserve">Future Research and Conclusions</w:t>
      </w:r>
      <w:bookmarkEnd w:id="77"/>
    </w:p>
    <w:p>
      <w:pPr>
        <w:pStyle w:val="Heading2"/>
      </w:pPr>
      <w:bookmarkStart w:id="78" w:name="future-research"/>
      <w:r>
        <w:t xml:space="preserve">Future Research</w:t>
      </w:r>
      <w:bookmarkEnd w:id="78"/>
    </w:p>
    <w:p>
      <w:pPr>
        <w:pStyle w:val="FirstParagraph"/>
      </w:pPr>
      <w:r>
        <w:t xml:space="preserve">This research has shown that the addition of spatial lag features can meangingfully increase the predictive accuracy of machine learning models compared to traditional real estate valuation techniques. There are several areas that could be further explored regarding spatially-conscious machine learning models, some of which we mention below.</w:t>
      </w:r>
    </w:p>
    <w:p>
      <w:pPr>
        <w:pStyle w:val="BodyText"/>
      </w:pPr>
      <w:r>
        <w:t xml:space="preserve">First, it became apparent in the research that generalization was a problem for some of the models, likely due to overfitting of the training data. We corrected for this issue by employing more robust algorithms; however, further work could be done to create variable selection processes or hyperparameter tuning to prevent overfit and generally accelerate model training and scoring.</w:t>
      </w:r>
    </w:p>
    <w:p>
      <w:pPr>
        <w:pStyle w:val="BodyText"/>
      </w:pPr>
      <w:r>
        <w:t xml:space="preserve">Additionally, the spatial lag features seemed to perform best for certain boroughs and residential building types. We hypothesize that using a 500-meter radius to build spatial lag features, a distance which we arbitrarily chose, works best for this type of asset in these areas.</w:t>
      </w:r>
      <w:r>
        <w:t xml:space="preserve"> </w:t>
      </w:r>
      <w:r>
        <w:t xml:space="preserve">Fotheringham (2015)</w:t>
      </w:r>
      <w:r>
        <w:t xml:space="preserve"> </w:t>
      </w:r>
      <w:r>
        <w:t xml:space="preserve">used an</w:t>
      </w:r>
      <w:r>
        <w:t xml:space="preserve"> </w:t>
      </w:r>
      <w:r>
        <w:t xml:space="preserve">“</w:t>
      </w:r>
      <w:r>
        <w:t xml:space="preserve">Adaptive Bandwidth</w:t>
      </w:r>
      <w:r>
        <w:t xml:space="preserve">”</w:t>
      </w:r>
      <w:r>
        <w:t xml:space="preserve"> </w:t>
      </w:r>
      <w:r>
        <w:t xml:space="preserve">technique to adjust the spatial lag radius based on cross-validation with much success. The techniques presented in this paper could be expanded to use cross-validation similarly to assign the optimal spatial lag radius for each building type and location. Furthermore, additional work could be done using cross-validation or a similar technique to refine the spatial lags further to include appropriate building types and distance weights tailored to each property.</w:t>
      </w:r>
    </w:p>
    <w:p>
      <w:pPr>
        <w:pStyle w:val="BodyText"/>
      </w:pPr>
      <w:r>
        <w:t xml:space="preserve">Finally, this research aimed to predict real estate transactions 1 year into the future. While this is a promising start, 1-year of lead time may not be sufficient to respond to growing gentrification challenges. In addition, modeling at the annual level could be improved to quarterly or monthly, given that the sales data contains date information down to the day. To make this system practical for combating displacement, it may be helpful to predict at a more granular level and further into the future.</w:t>
      </w:r>
    </w:p>
    <w:p>
      <w:pPr>
        <w:pStyle w:val="Heading2"/>
      </w:pPr>
      <w:bookmarkStart w:id="79" w:name="conclusion"/>
      <w:r>
        <w:t xml:space="preserve">Conclusion</w:t>
      </w:r>
      <w:bookmarkEnd w:id="79"/>
    </w:p>
    <w:p>
      <w:pPr>
        <w:pStyle w:val="FirstParagraph"/>
      </w:pPr>
      <w:r>
        <w:t xml:space="preserve">Societies and communities can benefit materially from gentrification, however, the downside should not be overlooked. Displacement causes Economic Exclusion, which over time contributes to rising income inequality. Combating displacement allows communities to benefit from gentrification without suffering the negative consequences. One way to practically combat displacement is to predict gentrification, which this paper has attempted to do.</w:t>
      </w:r>
    </w:p>
    <w:p>
      <w:pPr>
        <w:pStyle w:val="BodyText"/>
      </w:pPr>
      <w:r>
        <w:t xml:space="preserve">Spatial lags, typically seen in geographically weighted regression, were employed successfully to enhance the predictive power of machine learning models. The spatial lag models performed best for particular building types and geographies; however, we feel confident that the technique could be expanded to work equally as well for all buildings with some additional research. Regarding algorithms, Artificial Neural Networks performed the best for predicting sale price, while Gradient Boosting Machines performed best for predicting sale occurrence.</w:t>
      </w:r>
    </w:p>
    <w:p>
      <w:pPr>
        <w:pStyle w:val="BodyText"/>
      </w:pPr>
      <w:r>
        <w:t xml:space="preserve">While this research is not intended to serve as a full early-warning system for gentrification and displacement, it is a step in that direction. More research is needed to help address the challenges faced by city planners and governments trying to help incumbent residents reap the benefits of local investments. Income inequality is a complicated and grave issue, but new tools and techniques to inform and prevent will help ensure equality of opportunity for all.</w:t>
      </w:r>
    </w:p>
    <w:p>
      <w:pPr>
        <w:pStyle w:val="Heading1"/>
      </w:pPr>
      <w:bookmarkStart w:id="80" w:name="references"/>
      <w:r>
        <w:t xml:space="preserve">References</w:t>
      </w:r>
      <w:bookmarkEnd w:id="80"/>
    </w:p>
    <w:bookmarkStart w:id="127" w:name="refs"/>
    <w:bookmarkStart w:id="81" w:name="ref-Almanie2015"/>
    <w:p>
      <w:pPr>
        <w:pStyle w:val="Bibliography"/>
      </w:pPr>
      <w:r>
        <w:t xml:space="preserve">Almanie, R.; Lor, T.; Mirza. 2015. “Crime Prediction Based on Crime Types and Using Spatial and Temporal Criminal Hotspots.”</w:t>
      </w:r>
      <w:r>
        <w:t xml:space="preserve"> </w:t>
      </w:r>
      <w:r>
        <w:rPr>
          <w:i/>
        </w:rPr>
        <w:t xml:space="preserve">International Journal of Data Mining &amp; Knowledge Management Process (IJDKP)</w:t>
      </w:r>
      <w:r>
        <w:t xml:space="preserve"> </w:t>
      </w:r>
      <w:r>
        <w:t xml:space="preserve">5 (4).</w:t>
      </w:r>
    </w:p>
    <w:bookmarkEnd w:id="81"/>
    <w:bookmarkStart w:id="82" w:name="ref-antipov12"/>
    <w:p>
      <w:pPr>
        <w:pStyle w:val="Bibliography"/>
      </w:pPr>
      <w:r>
        <w:t xml:space="preserve">Antipov, Evgeny A., and Elena B. Pokryshevskaya. 2012. “Mass Appraisal of Residential Apartments: An Application of Random Forest for Valuation and a Cart-Based Approach for Model Diagnostics.”</w:t>
      </w:r>
      <w:r>
        <w:t xml:space="preserve"> </w:t>
      </w:r>
      <w:r>
        <w:rPr>
          <w:i/>
        </w:rPr>
        <w:t xml:space="preserve">Expert Systems with Applications</w:t>
      </w:r>
      <w:r>
        <w:t xml:space="preserve">.</w:t>
      </w:r>
    </w:p>
    <w:bookmarkEnd w:id="82"/>
    <w:bookmarkStart w:id="83" w:name="ref-Pollack2010"/>
    <w:p>
      <w:pPr>
        <w:pStyle w:val="Bibliography"/>
      </w:pPr>
      <w:r>
        <w:t xml:space="preserve">Barry Bluestone &amp; Chase Billingham, Stephanie Pollack &amp;. 2010. “Maintaining Diversity in America’s Transit-Rich Neighborhoods: Tools for Equitable Neighborhood Change.”</w:t>
      </w:r>
      <w:r>
        <w:t xml:space="preserve"> </w:t>
      </w:r>
      <w:r>
        <w:rPr>
          <w:i/>
        </w:rPr>
        <w:t xml:space="preserve">New England Community Developments, Federal Reserve Bank of Boston</w:t>
      </w:r>
      <w:r>
        <w:t xml:space="preserve">, 1–6.</w:t>
      </w:r>
    </w:p>
    <w:bookmarkEnd w:id="83"/>
    <w:bookmarkStart w:id="84" w:name="ref-Batty2013"/>
    <w:p>
      <w:pPr>
        <w:pStyle w:val="Bibliography"/>
      </w:pPr>
      <w:r>
        <w:t xml:space="preserve">Batty, Michael. 2013. “The New Science of Cities.”</w:t>
      </w:r>
      <w:r>
        <w:t xml:space="preserve"> </w:t>
      </w:r>
      <w:r>
        <w:rPr>
          <w:i/>
        </w:rPr>
        <w:t xml:space="preserve">MIT Press</w:t>
      </w:r>
      <w:r>
        <w:t xml:space="preserve">.</w:t>
      </w:r>
    </w:p>
    <w:bookmarkEnd w:id="84"/>
    <w:bookmarkStart w:id="85" w:name="ref-breiman2001random"/>
    <w:p>
      <w:pPr>
        <w:pStyle w:val="Bibliography"/>
      </w:pPr>
      <w:r>
        <w:t xml:space="preserve">Breiman, Leo. 2001. “Random Forests.”</w:t>
      </w:r>
      <w:r>
        <w:t xml:space="preserve"> </w:t>
      </w:r>
      <w:r>
        <w:rPr>
          <w:i/>
        </w:rPr>
        <w:t xml:space="preserve">Machine Learning</w:t>
      </w:r>
      <w:r>
        <w:t xml:space="preserve"> </w:t>
      </w:r>
      <w:r>
        <w:t xml:space="preserve">45 (1). Springer: 5–32.</w:t>
      </w:r>
    </w:p>
    <w:bookmarkEnd w:id="85"/>
    <w:bookmarkStart w:id="86" w:name="ref-Chapple2009"/>
    <w:p>
      <w:pPr>
        <w:pStyle w:val="Bibliography"/>
      </w:pPr>
      <w:r>
        <w:t xml:space="preserve">Chapple, Karen. 2009. “Mapping Susceptibility to Gentrification: The Early Warning Toolkit.”</w:t>
      </w:r>
      <w:r>
        <w:t xml:space="preserve"> </w:t>
      </w:r>
      <w:r>
        <w:rPr>
          <w:i/>
        </w:rPr>
        <w:t xml:space="preserve">Berkeley, CA: Center for Community Innovation.</w:t>
      </w:r>
    </w:p>
    <w:bookmarkEnd w:id="86"/>
    <w:bookmarkStart w:id="87" w:name="ref-Chapple2016"/>
    <w:p>
      <w:pPr>
        <w:pStyle w:val="Bibliography"/>
      </w:pPr>
      <w:r>
        <w:t xml:space="preserve">Chapple, Miriam, Karen; Zuk. 2016. “Forewarned: The Use of Neighborhood Early Warning Systems for Gentrification and Displacement.”</w:t>
      </w:r>
      <w:r>
        <w:t xml:space="preserve"> </w:t>
      </w:r>
      <w:r>
        <w:rPr>
          <w:i/>
        </w:rPr>
        <w:t xml:space="preserve">Cityscape: A Journal of Policy Development and Research</w:t>
      </w:r>
      <w:r>
        <w:t xml:space="preserve"> </w:t>
      </w:r>
      <w:r>
        <w:t xml:space="preserve">18 (3).</w:t>
      </w:r>
    </w:p>
    <w:bookmarkEnd w:id="87"/>
    <w:bookmarkStart w:id="88" w:name="ref-Clay1979"/>
    <w:p>
      <w:pPr>
        <w:pStyle w:val="Bibliography"/>
      </w:pPr>
      <w:r>
        <w:t xml:space="preserve">Clay, Phillip L. 1979.</w:t>
      </w:r>
      <w:r>
        <w:t xml:space="preserve"> </w:t>
      </w:r>
      <w:r>
        <w:rPr>
          <w:i/>
        </w:rPr>
        <w:t xml:space="preserve">Neighborhood Renewal: Middle-Class Resettlement and Incumbent Upgrading in American Neighborhoods</w:t>
      </w:r>
      <w:r>
        <w:t xml:space="preserve">. Lexington Books.</w:t>
      </w:r>
    </w:p>
    <w:bookmarkEnd w:id="88"/>
    <w:bookmarkStart w:id="89" w:name="ref-Springer2017"/>
    <w:p>
      <w:pPr>
        <w:pStyle w:val="Bibliography"/>
      </w:pPr>
      <w:r>
        <w:t xml:space="preserve">d’Amato, Tom, Maurizio; Kauko, ed. 2017.</w:t>
      </w:r>
      <w:r>
        <w:t xml:space="preserve"> </w:t>
      </w:r>
      <w:r>
        <w:rPr>
          <w:i/>
        </w:rPr>
        <w:t xml:space="preserve">Advances in Automated Valuation Modeling</w:t>
      </w:r>
      <w:r>
        <w:t xml:space="preserve">. Springer International Publishing.</w:t>
      </w:r>
    </w:p>
    <w:bookmarkEnd w:id="89"/>
    <w:bookmarkStart w:id="90" w:name="ref-Dietzell2014"/>
    <w:p>
      <w:pPr>
        <w:pStyle w:val="Bibliography"/>
      </w:pPr>
      <w:r>
        <w:t xml:space="preserve">Dietzell, Nicole; Schäfers, Marian Alexander; Braun. 2014. “Sentiment-Based Commercial Real Estate Forecasting with Google Search Volume Data.”</w:t>
      </w:r>
      <w:r>
        <w:t xml:space="preserve"> </w:t>
      </w:r>
      <w:r>
        <w:rPr>
          <w:i/>
        </w:rPr>
        <w:t xml:space="preserve">Journal of Property Investment &amp; Finance,</w:t>
      </w:r>
      <w:r>
        <w:t xml:space="preserve"> </w:t>
      </w:r>
      <w:r>
        <w:t xml:space="preserve">32 (6): 540–69.</w:t>
      </w:r>
    </w:p>
    <w:bookmarkEnd w:id="90"/>
    <w:bookmarkStart w:id="91" w:name="ref-Dreier2004"/>
    <w:p>
      <w:pPr>
        <w:pStyle w:val="Bibliography"/>
      </w:pPr>
      <w:r>
        <w:t xml:space="preserve">Dreier, John; Swanstrom, Peter; Mollenkopf. 2004.</w:t>
      </w:r>
      <w:r>
        <w:t xml:space="preserve"> </w:t>
      </w:r>
      <w:r>
        <w:rPr>
          <w:i/>
        </w:rPr>
        <w:t xml:space="preserve">Place Matters: Metropolitics for the Twenty-First Century.</w:t>
      </w:r>
      <w:r>
        <w:t xml:space="preserve"> </w:t>
      </w:r>
      <w:r>
        <w:t xml:space="preserve">University Press of Kansas.</w:t>
      </w:r>
    </w:p>
    <w:bookmarkEnd w:id="91"/>
    <w:bookmarkStart w:id="92" w:name="ref-Eckert1990"/>
    <w:p>
      <w:pPr>
        <w:pStyle w:val="Bibliography"/>
      </w:pPr>
      <w:r>
        <w:t xml:space="preserve">Eckert, J. K. 1990.</w:t>
      </w:r>
      <w:r>
        <w:t xml:space="preserve"> </w:t>
      </w:r>
      <w:r>
        <w:rPr>
          <w:i/>
        </w:rPr>
        <w:t xml:space="preserve">Property Appraisal and Assessment Administration</w:t>
      </w:r>
      <w:r>
        <w:t xml:space="preserve">. Chicago, IL.: International Association of Assessing Officers.</w:t>
      </w:r>
    </w:p>
    <w:bookmarkEnd w:id="92"/>
    <w:bookmarkStart w:id="93" w:name="ref-Fotheringham2015"/>
    <w:p>
      <w:pPr>
        <w:pStyle w:val="Bibliography"/>
      </w:pPr>
      <w:r>
        <w:t xml:space="preserve">Fotheringham, R; Yao, A.S.; Crespo. 2015. “Exploring, Modelling and Predicting Spatiotemporal Variations in House Prices.”</w:t>
      </w:r>
      <w:r>
        <w:t xml:space="preserve"> </w:t>
      </w:r>
      <w:r>
        <w:rPr>
          <w:i/>
        </w:rPr>
        <w:t xml:space="preserve">The Annals of Regional Science</w:t>
      </w:r>
      <w:r>
        <w:t xml:space="preserve"> </w:t>
      </w:r>
      <w:r>
        <w:t xml:space="preserve">54.</w:t>
      </w:r>
    </w:p>
    <w:bookmarkEnd w:id="93"/>
    <w:bookmarkStart w:id="94" w:name="ref-friedman2002stochastic"/>
    <w:p>
      <w:pPr>
        <w:pStyle w:val="Bibliography"/>
      </w:pPr>
      <w:r>
        <w:t xml:space="preserve">Friedman, Jerome H. 2002. “Stochastic Gradient Boosting.”</w:t>
      </w:r>
      <w:r>
        <w:t xml:space="preserve"> </w:t>
      </w:r>
      <w:r>
        <w:rPr>
          <w:i/>
        </w:rPr>
        <w:t xml:space="preserve">Computational Statistics &amp; Data Analysis</w:t>
      </w:r>
      <w:r>
        <w:t xml:space="preserve"> </w:t>
      </w:r>
      <w:r>
        <w:t xml:space="preserve">38 (4). Elsevier: 367–78.</w:t>
      </w:r>
    </w:p>
    <w:bookmarkEnd w:id="94"/>
    <w:bookmarkStart w:id="95" w:name="ref-Fu2014"/>
    <w:p>
      <w:pPr>
        <w:pStyle w:val="Bibliography"/>
      </w:pPr>
      <w:r>
        <w:t xml:space="preserve">Fu, Yanjie; et al. 2014.</w:t>
      </w:r>
      <w:r>
        <w:t xml:space="preserve"> </w:t>
      </w:r>
      <w:r>
        <w:rPr>
          <w:i/>
        </w:rPr>
        <w:t xml:space="preserve">Exploiting Geographic Dependencies for Real Estate Appraisal: A Mutual Perspective of Ranking and Clustering</w:t>
      </w:r>
      <w:r>
        <w:t xml:space="preserve">. Proceedings of the 20th ACM SIGKDD international conference on Knowledge discovery; data mining.</w:t>
      </w:r>
    </w:p>
    <w:bookmarkEnd w:id="95"/>
    <w:bookmarkStart w:id="96" w:name="ref-Geltner2017"/>
    <w:p>
      <w:pPr>
        <w:pStyle w:val="Bibliography"/>
      </w:pPr>
      <w:r>
        <w:t xml:space="preserve">Geltner, David, and Alex Van de Minne. 2017. “Do Different Price Points Exhibit Different Investment Risk and Return Commercial Real Estate.” Real Estate Research Institute.</w:t>
      </w:r>
    </w:p>
    <w:bookmarkEnd w:id="96"/>
    <w:bookmarkStart w:id="98" w:name="ref-Guan2014"/>
    <w:p>
      <w:pPr>
        <w:pStyle w:val="Bibliography"/>
      </w:pPr>
      <w:r>
        <w:t xml:space="preserve">Guan, Jian, Donghui Shi, Jozef M. Zurada, and Alan S. Levitan. 2014. “Analyzing Massive Data Sets: An Adaptive Fuzzy Neural Approach for Prediction, with a Real Estate Illustration.”</w:t>
      </w:r>
      <w:r>
        <w:t xml:space="preserve"> </w:t>
      </w:r>
      <w:r>
        <w:rPr>
          <w:i/>
        </w:rPr>
        <w:t xml:space="preserve">Journal of Organizational Computing and Electronic Commerce</w:t>
      </w:r>
      <w:r>
        <w:t xml:space="preserve"> </w:t>
      </w:r>
      <w:r>
        <w:t xml:space="preserve">24 (1). Taylor &amp; Francis: 94–112.</w:t>
      </w:r>
      <w:r>
        <w:t xml:space="preserve"> </w:t>
      </w:r>
      <w:hyperlink r:id="rId97">
        <w:r>
          <w:rPr>
            <w:rStyle w:val="Hyperlink"/>
          </w:rPr>
          <w:t xml:space="preserve">https://doi.org/10.1080/10919392.2014.866505</w:t>
        </w:r>
      </w:hyperlink>
      <w:r>
        <w:t xml:space="preserve">.</w:t>
      </w:r>
    </w:p>
    <w:bookmarkEnd w:id="98"/>
    <w:bookmarkStart w:id="99" w:name="ref-hastie01statisticallearning"/>
    <w:p>
      <w:pPr>
        <w:pStyle w:val="Bibliography"/>
      </w:pPr>
      <w:r>
        <w:t xml:space="preserve">Hastie, Trevor, Robert Tibshirani, and Jerome Friedman. 2001.</w:t>
      </w:r>
      <w:r>
        <w:t xml:space="preserve"> </w:t>
      </w:r>
      <w:r>
        <w:rPr>
          <w:i/>
        </w:rPr>
        <w:t xml:space="preserve">The Elements of Statistical Learning</w:t>
      </w:r>
      <w:r>
        <w:t xml:space="preserve">. Springer Series in Statistics. New York, NY, USA: Springer New York Inc.</w:t>
      </w:r>
    </w:p>
    <w:bookmarkEnd w:id="99"/>
    <w:bookmarkStart w:id="100" w:name="ref-Helbich2013"/>
    <w:p>
      <w:pPr>
        <w:pStyle w:val="Bibliography"/>
      </w:pPr>
      <w:r>
        <w:t xml:space="preserve">Helbich, et al., Marco. 2013. “Boosting the Predictive Accuracy of Urban Hedonic House Price Models Through Airborne Laser Scanning.”</w:t>
      </w:r>
      <w:r>
        <w:t xml:space="preserve"> </w:t>
      </w:r>
      <w:r>
        <w:rPr>
          <w:i/>
        </w:rPr>
        <w:t xml:space="preserve">Computers, Environment and Urban Systems</w:t>
      </w:r>
      <w:r>
        <w:t xml:space="preserve"> </w:t>
      </w:r>
      <w:r>
        <w:t xml:space="preserve">39: 81–92.</w:t>
      </w:r>
    </w:p>
    <w:bookmarkEnd w:id="100"/>
    <w:bookmarkStart w:id="101" w:name="ref-hoffmann2004generalized"/>
    <w:p>
      <w:pPr>
        <w:pStyle w:val="Bibliography"/>
      </w:pPr>
      <w:r>
        <w:t xml:space="preserve">Hoffmann, John Patrick. 2004.</w:t>
      </w:r>
      <w:r>
        <w:t xml:space="preserve"> </w:t>
      </w:r>
      <w:r>
        <w:rPr>
          <w:i/>
        </w:rPr>
        <w:t xml:space="preserve">Generalized Linear Models: An Applied Approach</w:t>
      </w:r>
      <w:r>
        <w:t xml:space="preserve">. Pearson College Division.</w:t>
      </w:r>
    </w:p>
    <w:bookmarkEnd w:id="101"/>
    <w:bookmarkStart w:id="102" w:name="ref-Huang1996"/>
    <w:p>
      <w:pPr>
        <w:pStyle w:val="Bibliography"/>
      </w:pPr>
      <w:r>
        <w:t xml:space="preserve">Huang, Chong-Wei. 1996. “On the Complexity of Point-in-Polygon Algorithms.”</w:t>
      </w:r>
      <w:r>
        <w:t xml:space="preserve"> </w:t>
      </w:r>
      <w:r>
        <w:rPr>
          <w:i/>
        </w:rPr>
        <w:t xml:space="preserve">Computers and Geosciences</w:t>
      </w:r>
      <w:r>
        <w:t xml:space="preserve"> </w:t>
      </w:r>
      <w:r>
        <w:t xml:space="preserve">23.</w:t>
      </w:r>
    </w:p>
    <w:bookmarkEnd w:id="102"/>
    <w:bookmarkStart w:id="104" w:name="ref-Johnson2007"/>
    <w:p>
      <w:pPr>
        <w:pStyle w:val="Bibliography"/>
      </w:pPr>
      <w:r>
        <w:t xml:space="preserve">Johnson, Ken, Justin Benefield, and Jonathan Wiley. 2007. “The Probability of Sale for Residential Real Estate.”</w:t>
      </w:r>
      <w:r>
        <w:t xml:space="preserve"> </w:t>
      </w:r>
      <w:r>
        <w:rPr>
          <w:i/>
        </w:rPr>
        <w:t xml:space="preserve">Journal of Housing Research</w:t>
      </w:r>
      <w:r>
        <w:t xml:space="preserve"> </w:t>
      </w:r>
      <w:r>
        <w:t xml:space="preserve">16 (2): 131–42.</w:t>
      </w:r>
      <w:r>
        <w:t xml:space="preserve"> </w:t>
      </w:r>
      <w:hyperlink r:id="rId103">
        <w:r>
          <w:rPr>
            <w:rStyle w:val="Hyperlink"/>
          </w:rPr>
          <w:t xml:space="preserve">https://doi.org/10.5555/jhor.16.2.0234g75800h5k8x6</w:t>
        </w:r>
      </w:hyperlink>
      <w:r>
        <w:t xml:space="preserve">.</w:t>
      </w:r>
    </w:p>
    <w:bookmarkEnd w:id="104"/>
    <w:bookmarkStart w:id="105" w:name="ref-Kontrimasa2011"/>
    <w:p>
      <w:pPr>
        <w:pStyle w:val="Bibliography"/>
      </w:pPr>
      <w:r>
        <w:t xml:space="preserve">Kontrimasa, Antanas, Vilius; Verikasb. 2011. “The Mass Appraisal of the Real Estate by Computational Intelligence.”</w:t>
      </w:r>
      <w:r>
        <w:t xml:space="preserve"> </w:t>
      </w:r>
      <w:r>
        <w:rPr>
          <w:i/>
        </w:rPr>
        <w:t xml:space="preserve">Applied Soft Computing</w:t>
      </w:r>
      <w:r>
        <w:t xml:space="preserve">.</w:t>
      </w:r>
    </w:p>
    <w:bookmarkEnd w:id="105"/>
    <w:bookmarkStart w:id="106" w:name="ref-Koschinsky2012"/>
    <w:p>
      <w:pPr>
        <w:pStyle w:val="Bibliography"/>
      </w:pPr>
      <w:r>
        <w:t xml:space="preserve">Koschinsky, J. et al. 2012. “The Welfare Benefit of a Home’s Location: An Empirical Comparison of Spatial and Non-Spatial Model Estimates.”</w:t>
      </w:r>
      <w:r>
        <w:t xml:space="preserve"> </w:t>
      </w:r>
      <w:r>
        <w:rPr>
          <w:i/>
        </w:rPr>
        <w:t xml:space="preserve">Journal of Geographical Systems</w:t>
      </w:r>
      <w:r>
        <w:t xml:space="preserve"> </w:t>
      </w:r>
      <w:r>
        <w:t xml:space="preserve">10109.</w:t>
      </w:r>
    </w:p>
    <w:bookmarkEnd w:id="106"/>
    <w:bookmarkStart w:id="108" w:name="ref-Lees2008"/>
    <w:p>
      <w:pPr>
        <w:pStyle w:val="Bibliography"/>
      </w:pPr>
      <w:r>
        <w:t xml:space="preserve">Lees, Tom; Wyly, Loretta; Slater. 2008. “Gentrification.”</w:t>
      </w:r>
      <w:r>
        <w:t xml:space="preserve"> </w:t>
      </w:r>
      <w:r>
        <w:rPr>
          <w:i/>
        </w:rPr>
        <w:t xml:space="preserve">Growth and Change</w:t>
      </w:r>
      <w:r>
        <w:t xml:space="preserve"> </w:t>
      </w:r>
      <w:r>
        <w:t xml:space="preserve">39 (3): 536–39.</w:t>
      </w:r>
      <w:r>
        <w:t xml:space="preserve"> </w:t>
      </w:r>
      <w:hyperlink r:id="rId107">
        <w:r>
          <w:rPr>
            <w:rStyle w:val="Hyperlink"/>
          </w:rPr>
          <w:t xml:space="preserve">https://doi.org/10.1111/j.1468-2257.2008.00443.x</w:t>
        </w:r>
      </w:hyperlink>
      <w:r>
        <w:t xml:space="preserve">.</w:t>
      </w:r>
    </w:p>
    <w:bookmarkEnd w:id="108"/>
    <w:bookmarkStart w:id="109" w:name="ref-Miller2015"/>
    <w:p>
      <w:pPr>
        <w:pStyle w:val="Bibliography"/>
      </w:pPr>
      <w:r>
        <w:t xml:space="preserve">Miller, J.; Aspinall, J.; Franklin. 2007. “Incorporating Spatial Dependence in Predictive Vegetation Models.”</w:t>
      </w:r>
      <w:r>
        <w:t xml:space="preserve"> </w:t>
      </w:r>
      <w:r>
        <w:rPr>
          <w:i/>
        </w:rPr>
        <w:t xml:space="preserve">Ecological Modelling</w:t>
      </w:r>
      <w:r>
        <w:t xml:space="preserve"> </w:t>
      </w:r>
      <w:r>
        <w:t xml:space="preserve">202 (3): 225–42.</w:t>
      </w:r>
    </w:p>
    <w:bookmarkEnd w:id="109"/>
    <w:bookmarkStart w:id="110" w:name="ref-Park2015"/>
    <w:p>
      <w:pPr>
        <w:pStyle w:val="Bibliography"/>
      </w:pPr>
      <w:r>
        <w:t xml:space="preserve">Park, Jae Kwon, Byeonghwa; Bae. 2015. “Using Machine Learning Algorithms for Housing Price Prediction: The Case of Fairfax County, Virginia Housing Data.”</w:t>
      </w:r>
      <w:r>
        <w:t xml:space="preserve"> </w:t>
      </w:r>
      <w:r>
        <w:rPr>
          <w:i/>
        </w:rPr>
        <w:t xml:space="preserve">Expert Systems with Applications</w:t>
      </w:r>
      <w:r>
        <w:t xml:space="preserve"> </w:t>
      </w:r>
      <w:r>
        <w:t xml:space="preserve">42 (6): 2928–34.</w:t>
      </w:r>
    </w:p>
    <w:bookmarkEnd w:id="110"/>
    <w:bookmarkStart w:id="112" w:name="ref-Pivo2011"/>
    <w:p>
      <w:pPr>
        <w:pStyle w:val="Bibliography"/>
      </w:pPr>
      <w:r>
        <w:t xml:space="preserve">Pivo, Gary, and Jeffrey D. Fisher. 2011. “The Walkability Premium in Commercial Real Estate Investments.”</w:t>
      </w:r>
      <w:r>
        <w:t xml:space="preserve"> </w:t>
      </w:r>
      <w:r>
        <w:rPr>
          <w:i/>
        </w:rPr>
        <w:t xml:space="preserve">Real Estate Economics</w:t>
      </w:r>
      <w:r>
        <w:t xml:space="preserve"> </w:t>
      </w:r>
      <w:r>
        <w:t xml:space="preserve">39 (2): 185–219.</w:t>
      </w:r>
      <w:r>
        <w:t xml:space="preserve"> </w:t>
      </w:r>
      <w:hyperlink r:id="rId111">
        <w:r>
          <w:rPr>
            <w:rStyle w:val="Hyperlink"/>
          </w:rPr>
          <w:t xml:space="preserve">https://doi.org/10.1111/j.1540-6229.2010.00296.x</w:t>
        </w:r>
      </w:hyperlink>
      <w:r>
        <w:t xml:space="preserve">.</w:t>
      </w:r>
    </w:p>
    <w:bookmarkEnd w:id="112"/>
    <w:bookmarkStart w:id="113" w:name="ref-Quintos2013"/>
    <w:p>
      <w:pPr>
        <w:pStyle w:val="Bibliography"/>
      </w:pPr>
      <w:r>
        <w:t xml:space="preserve">Quintos, Carmela. 2013. “Estimating Latent Effects in Commercial Property Models.”</w:t>
      </w:r>
      <w:r>
        <w:t xml:space="preserve"> </w:t>
      </w:r>
      <w:r>
        <w:rPr>
          <w:i/>
        </w:rPr>
        <w:t xml:space="preserve">Journal of Property Tax Assessment &amp; Administration</w:t>
      </w:r>
      <w:r>
        <w:t xml:space="preserve"> </w:t>
      </w:r>
      <w:r>
        <w:t xml:space="preserve">12 (2).</w:t>
      </w:r>
    </w:p>
    <w:bookmarkEnd w:id="113"/>
    <w:bookmarkStart w:id="114" w:name="ref-Rafiei2016"/>
    <w:p>
      <w:pPr>
        <w:pStyle w:val="Bibliography"/>
      </w:pPr>
      <w:r>
        <w:t xml:space="preserve">Rafiei, Hojjat, Mohammad Hossein; Adeli. 2016. “A Novel Machine Learning Model for Estimation of Sale Prices of Real Estate Units.”</w:t>
      </w:r>
      <w:r>
        <w:t xml:space="preserve"> </w:t>
      </w:r>
      <w:r>
        <w:rPr>
          <w:i/>
        </w:rPr>
        <w:t xml:space="preserve">Journal of Construction Engineering and Management</w:t>
      </w:r>
      <w:r>
        <w:t xml:space="preserve"> </w:t>
      </w:r>
      <w:r>
        <w:t xml:space="preserve">142 (2).</w:t>
      </w:r>
    </w:p>
    <w:bookmarkEnd w:id="114"/>
    <w:bookmarkStart w:id="115" w:name="ref-Reardon2011"/>
    <w:p>
      <w:pPr>
        <w:pStyle w:val="Bibliography"/>
      </w:pPr>
      <w:r>
        <w:t xml:space="preserve">Reardon, Kendra, Sean F.; Bischoff. 2011. “Income Inequality and Income Segregation.”</w:t>
      </w:r>
      <w:r>
        <w:t xml:space="preserve"> </w:t>
      </w:r>
      <w:r>
        <w:rPr>
          <w:i/>
        </w:rPr>
        <w:t xml:space="preserve">American Journal of Sociology</w:t>
      </w:r>
      <w:r>
        <w:t xml:space="preserve">.</w:t>
      </w:r>
    </w:p>
    <w:bookmarkEnd w:id="115"/>
    <w:bookmarkStart w:id="116" w:name="ref-Ritter2013"/>
    <w:p>
      <w:pPr>
        <w:pStyle w:val="Bibliography"/>
      </w:pPr>
      <w:r>
        <w:t xml:space="preserve">Ritter, Nancy. 2013. “Predicting Recidivism Risk: New Tool in Philadelphia Shows Great Promise.”</w:t>
      </w:r>
      <w:r>
        <w:t xml:space="preserve"> </w:t>
      </w:r>
      <w:r>
        <w:rPr>
          <w:i/>
        </w:rPr>
        <w:t xml:space="preserve">National Institute of Justice Journal</w:t>
      </w:r>
      <w:r>
        <w:t xml:space="preserve"> </w:t>
      </w:r>
      <w:r>
        <w:t xml:space="preserve">271.</w:t>
      </w:r>
    </w:p>
    <w:bookmarkEnd w:id="116"/>
    <w:bookmarkStart w:id="117" w:name="ref-Schernthanner2016"/>
    <w:p>
      <w:pPr>
        <w:pStyle w:val="Bibliography"/>
      </w:pPr>
      <w:r>
        <w:t xml:space="preserve">Schernthanner H., Gonschorek J., Asche H. 2016. “Spatial Modeling and Geovisualization of Rental Prices for Real Estate Portals.”</w:t>
      </w:r>
      <w:r>
        <w:t xml:space="preserve"> </w:t>
      </w:r>
      <w:r>
        <w:rPr>
          <w:i/>
        </w:rPr>
        <w:t xml:space="preserve">Computational Science and Its Applications</w:t>
      </w:r>
      <w:r>
        <w:t xml:space="preserve"> </w:t>
      </w:r>
      <w:r>
        <w:t xml:space="preserve">9788.</w:t>
      </w:r>
    </w:p>
    <w:bookmarkEnd w:id="117"/>
    <w:bookmarkStart w:id="119" w:name="ref-SCHMIDHUBER201585"/>
    <w:p>
      <w:pPr>
        <w:pStyle w:val="Bibliography"/>
      </w:pPr>
      <w:r>
        <w:t xml:space="preserve">Schmidhuber, Jürgen. 2015. “Deep Learning in Neural Networks: An Overview.”</w:t>
      </w:r>
      <w:r>
        <w:t xml:space="preserve"> </w:t>
      </w:r>
      <w:r>
        <w:rPr>
          <w:i/>
        </w:rPr>
        <w:t xml:space="preserve">Neural Networks</w:t>
      </w:r>
      <w:r>
        <w:t xml:space="preserve"> </w:t>
      </w:r>
      <w:r>
        <w:t xml:space="preserve">61: 85–117.</w:t>
      </w:r>
      <w:r>
        <w:t xml:space="preserve"> </w:t>
      </w:r>
      <w:hyperlink r:id="rId118">
        <w:r>
          <w:rPr>
            <w:rStyle w:val="Hyperlink"/>
          </w:rPr>
          <w:t xml:space="preserve">https://doi.org/https://doi.org/10.1016/j.neunet.2014.09.003</w:t>
        </w:r>
      </w:hyperlink>
      <w:r>
        <w:t xml:space="preserve">.</w:t>
      </w:r>
    </w:p>
    <w:bookmarkEnd w:id="119"/>
    <w:bookmarkStart w:id="120" w:name="ref-Silverherz1936"/>
    <w:p>
      <w:pPr>
        <w:pStyle w:val="Bibliography"/>
      </w:pPr>
      <w:r>
        <w:t xml:space="preserve">Silverherz, J. D. 1936. “The Assessment of Real Property in the United States.”</w:t>
      </w:r>
      <w:r>
        <w:t xml:space="preserve"> </w:t>
      </w:r>
      <w:r>
        <w:rPr>
          <w:i/>
        </w:rPr>
        <w:t xml:space="preserve">Albany: J.B. Lyon Co. Printers</w:t>
      </w:r>
      <w:r>
        <w:t xml:space="preserve">.</w:t>
      </w:r>
    </w:p>
    <w:bookmarkEnd w:id="120"/>
    <w:bookmarkStart w:id="122" w:name="ref-Smith1979"/>
    <w:p>
      <w:pPr>
        <w:pStyle w:val="Bibliography"/>
      </w:pPr>
      <w:r>
        <w:t xml:space="preserve">Smith, Neil. 1979. “Toward a Theory of Gentrification a Back to the City Movement by Capital, Not People.”</w:t>
      </w:r>
      <w:r>
        <w:t xml:space="preserve"> </w:t>
      </w:r>
      <w:r>
        <w:rPr>
          <w:i/>
        </w:rPr>
        <w:t xml:space="preserve">Journal of the American Planning Association</w:t>
      </w:r>
      <w:r>
        <w:t xml:space="preserve"> </w:t>
      </w:r>
      <w:r>
        <w:t xml:space="preserve">45 (4). Routledge: 538–48.</w:t>
      </w:r>
      <w:r>
        <w:t xml:space="preserve"> </w:t>
      </w:r>
      <w:hyperlink r:id="rId121">
        <w:r>
          <w:rPr>
            <w:rStyle w:val="Hyperlink"/>
          </w:rPr>
          <w:t xml:space="preserve">https://doi.org/10.1080/01944367908977002</w:t>
        </w:r>
      </w:hyperlink>
      <w:r>
        <w:t xml:space="preserve">.</w:t>
      </w:r>
    </w:p>
    <w:bookmarkEnd w:id="122"/>
    <w:bookmarkStart w:id="123" w:name="ref-urban2016"/>
    <w:p>
      <w:pPr>
        <w:pStyle w:val="Bibliography"/>
      </w:pPr>
      <w:r>
        <w:t xml:space="preserve">Solomon Greene, Molly Scott, Rolf Pendall, and Serena Lei. 2016. “Open Cities: From Economic Exclusion to Urban Inclusion.”</w:t>
      </w:r>
      <w:r>
        <w:t xml:space="preserve"> </w:t>
      </w:r>
      <w:r>
        <w:rPr>
          <w:i/>
        </w:rPr>
        <w:t xml:space="preserve">Urban Institue Brief</w:t>
      </w:r>
      <w:r>
        <w:t xml:space="preserve">. Urban Institue Brief.</w:t>
      </w:r>
    </w:p>
    <w:bookmarkEnd w:id="123"/>
    <w:bookmarkStart w:id="124" w:name="ref-Turner2001"/>
    <w:p>
      <w:pPr>
        <w:pStyle w:val="Bibliography"/>
      </w:pPr>
      <w:r>
        <w:t xml:space="preserve">Turner, Margery Austin, and Christopher Snow. 2001.</w:t>
      </w:r>
      <w:r>
        <w:t xml:space="preserve"> </w:t>
      </w:r>
      <w:r>
        <w:rPr>
          <w:i/>
        </w:rPr>
        <w:t xml:space="preserve">Leading Indicators of Gentrification in D.c. Neighborhoods</w:t>
      </w:r>
      <w:r>
        <w:t xml:space="preserve">.</w:t>
      </w:r>
    </w:p>
    <w:bookmarkEnd w:id="124"/>
    <w:bookmarkStart w:id="125" w:name="ref-Watson2009"/>
    <w:p>
      <w:pPr>
        <w:pStyle w:val="Bibliography"/>
      </w:pPr>
      <w:r>
        <w:t xml:space="preserve">Watson, Tara. 2009. “Inequality and the Measurement of Residential Segregation by Income in American Neighborhoods.”</w:t>
      </w:r>
      <w:r>
        <w:t xml:space="preserve"> </w:t>
      </w:r>
      <w:r>
        <w:rPr>
          <w:i/>
        </w:rPr>
        <w:t xml:space="preserve">Review of Income and Wealth</w:t>
      </w:r>
      <w:r>
        <w:t xml:space="preserve">.</w:t>
      </w:r>
    </w:p>
    <w:bookmarkEnd w:id="125"/>
    <w:bookmarkStart w:id="126" w:name="ref-Zuk2015"/>
    <w:p>
      <w:pPr>
        <w:pStyle w:val="Bibliography"/>
      </w:pPr>
      <w:r>
        <w:t xml:space="preserve">Zuk, Miriam; et al. 2015. “Gentrification, Displacement and the Role of Public Investment: A Literature Review.”</w:t>
      </w:r>
    </w:p>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3">
        <w:r>
          <w:rPr>
            <w:rStyle w:val="Hyperlink"/>
          </w:rPr>
          <w:t xml:space="preserve">https://www1.nyc.gov/site/planning/data-maps/open-data/bytes-archive.page?sorts[year]=0</w:t>
        </w:r>
      </w:hyperlink>
    </w:p>
  </w:footnote>
  <w:footnote w:id="36">
    <w:p>
      <w:pPr>
        <w:pStyle w:val="FootnoteText"/>
      </w:pPr>
      <w:r>
        <w:rPr>
          <w:rStyle w:val="FootnoteReference"/>
        </w:rPr>
        <w:footnoteRef/>
      </w:r>
      <w:r>
        <w:t xml:space="preserve"> </w:t>
      </w:r>
      <w:hyperlink r:id="rId35">
        <w:r>
          <w:rPr>
            <w:rStyle w:val="Hyperlink"/>
          </w:rPr>
          <w:t xml:space="preserve">http://www1.nyc.gov/site/finance/taxes/property-annualized-sales-update.page</w:t>
        </w:r>
      </w:hyperlink>
    </w:p>
  </w:footnote>
  <w:footnote w:id="38">
    <w:p>
      <w:pPr>
        <w:pStyle w:val="FootnoteText"/>
      </w:pPr>
      <w:r>
        <w:rPr>
          <w:rStyle w:val="FootnoteReference"/>
        </w:rPr>
        <w:footnoteRef/>
      </w:r>
      <w:r>
        <w:t xml:space="preserve"> </w:t>
      </w:r>
      <w:hyperlink r:id="rId37">
        <w:r>
          <w:rPr>
            <w:rStyle w:val="Hyperlink"/>
          </w:rPr>
          <w:t xml:space="preserve">https://data.cityofnewyork.us/City-Government/Property-Address-Directory/bc8t-ecyu/data</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7">
    <w:nsid w:val="47261ba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jp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66" Target="media/rId66.jp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75" Target="media/rId75.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hyperlink" Id="rId30" Target="data.cityofnewyork.us" TargetMode="External" /><Relationship Type="http://schemas.openxmlformats.org/officeDocument/2006/relationships/hyperlink" Id="rId35" Target="http://www1.nyc.gov/site/finance/taxes/property-annualized-sales-update.page" TargetMode="External" /><Relationship Type="http://schemas.openxmlformats.org/officeDocument/2006/relationships/hyperlink" Id="rId37" Target="https://data.cityofnewyork.us/City-Government/Property-Address-Directory/bc8t-ecyu/data" TargetMode="External" /><Relationship Type="http://schemas.openxmlformats.org/officeDocument/2006/relationships/hyperlink" Id="rId121" Target="https://doi.org/10.1080/01944367908977002" TargetMode="External" /><Relationship Type="http://schemas.openxmlformats.org/officeDocument/2006/relationships/hyperlink" Id="rId97" Target="https://doi.org/10.1080/10919392.2014.866505" TargetMode="External" /><Relationship Type="http://schemas.openxmlformats.org/officeDocument/2006/relationships/hyperlink" Id="rId107" Target="https://doi.org/10.1111/j.1468-2257.2008.00443.x" TargetMode="External" /><Relationship Type="http://schemas.openxmlformats.org/officeDocument/2006/relationships/hyperlink" Id="rId111" Target="https://doi.org/10.1111/j.1540-6229.2010.00296.x" TargetMode="External" /><Relationship Type="http://schemas.openxmlformats.org/officeDocument/2006/relationships/hyperlink" Id="rId103" Target="https://doi.org/10.5555/jhor.16.2.0234g75800h5k8x6" TargetMode="External" /><Relationship Type="http://schemas.openxmlformats.org/officeDocument/2006/relationships/hyperlink" Id="rId118" Target="https://doi.org/https://doi.org/10.1016/j.neunet.2014.09.003" TargetMode="External" /><Relationship Type="http://schemas.openxmlformats.org/officeDocument/2006/relationships/hyperlink" Id="rId53" Target="https://www.h2o.ai/" TargetMode="External" /><Relationship Type="http://schemas.openxmlformats.org/officeDocument/2006/relationships/hyperlink" Id="rId33" Target="https://www1.nyc.gov/site/planning/data-maps/open-data/bytes-archive.page?sorts%5Byear%5D=0" TargetMode="External" /><Relationship Type="http://schemas.openxmlformats.org/officeDocument/2006/relationships/hyperlink" Id="rId29" Target="nyc.gov" TargetMode="External" /></Relationships>
</file>

<file path=word/_rels/footnotes.xml.rels><?xml version="1.0" encoding="UTF-8"?>
<Relationships xmlns="http://schemas.openxmlformats.org/package/2006/relationships"><Relationship Type="http://schemas.openxmlformats.org/officeDocument/2006/relationships/hyperlink" Id="rId30" Target="data.cityofnewyork.us" TargetMode="External" /><Relationship Type="http://schemas.openxmlformats.org/officeDocument/2006/relationships/hyperlink" Id="rId35" Target="http://www1.nyc.gov/site/finance/taxes/property-annualized-sales-update.page" TargetMode="External" /><Relationship Type="http://schemas.openxmlformats.org/officeDocument/2006/relationships/hyperlink" Id="rId37" Target="https://data.cityofnewyork.us/City-Government/Property-Address-Directory/bc8t-ecyu/data" TargetMode="External" /><Relationship Type="http://schemas.openxmlformats.org/officeDocument/2006/relationships/hyperlink" Id="rId121" Target="https://doi.org/10.1080/01944367908977002" TargetMode="External" /><Relationship Type="http://schemas.openxmlformats.org/officeDocument/2006/relationships/hyperlink" Id="rId97" Target="https://doi.org/10.1080/10919392.2014.866505" TargetMode="External" /><Relationship Type="http://schemas.openxmlformats.org/officeDocument/2006/relationships/hyperlink" Id="rId107" Target="https://doi.org/10.1111/j.1468-2257.2008.00443.x" TargetMode="External" /><Relationship Type="http://schemas.openxmlformats.org/officeDocument/2006/relationships/hyperlink" Id="rId111" Target="https://doi.org/10.1111/j.1540-6229.2010.00296.x" TargetMode="External" /><Relationship Type="http://schemas.openxmlformats.org/officeDocument/2006/relationships/hyperlink" Id="rId103" Target="https://doi.org/10.5555/jhor.16.2.0234g75800h5k8x6" TargetMode="External" /><Relationship Type="http://schemas.openxmlformats.org/officeDocument/2006/relationships/hyperlink" Id="rId118" Target="https://doi.org/https://doi.org/10.1016/j.neunet.2014.09.003" TargetMode="External" /><Relationship Type="http://schemas.openxmlformats.org/officeDocument/2006/relationships/hyperlink" Id="rId53" Target="https://www.h2o.ai/" TargetMode="External" /><Relationship Type="http://schemas.openxmlformats.org/officeDocument/2006/relationships/hyperlink" Id="rId33" Target="https://www1.nyc.gov/site/planning/data-maps/open-data/bytes-archive.page?sorts%5Byear%5D=0" TargetMode="External" /><Relationship Type="http://schemas.openxmlformats.org/officeDocument/2006/relationships/hyperlink" Id="rId29" Target="nyc.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2018-12-05T20:36:17Z</dcterms:created>
  <dcterms:modified xsi:type="dcterms:W3CDTF">2018-12-05T20:36:17Z</dcterms:modified>
</cp:coreProperties>
</file>