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LiveUIN P06 revised plan</w:t>
      </w:r>
    </w:p>
    <w:p>
      <w:pPr>
        <w:pStyle w:val="Subtitle"/>
      </w:pPr>
      <w:r>
        <w:rPr>
          <w:color w:val="000000"/>
        </w:rPr>
        <w:t>The frozen plan and first staged repair</w:t>
      </w:r>
    </w:p>
    <w:p>
      <w:r>
        <w:rPr>
          <w:b w:val="0"/>
        </w:rPr>
        <w:t>For Ern Hong Tan in Singapore   •   19 October 2026   •   Review 07</w:t>
      </w:r>
    </w:p>
    <w:p>
      <w:r>
        <w:rPr>
          <w:b/>
        </w:rPr>
        <w:t>Plan frozen at 23:35 SGT on 19 October. Product proof and publication remain held.</w:t>
      </w:r>
    </w:p>
    <w:p>
      <w:r>
        <w:rPr>
          <w:b w:val="0"/>
        </w:rPr>
        <w:t>The re-audit closed five planning gaps within the existing 24-row order. Ern expressly accepted the Stripe readiness gate: sandbox payment/refund proof plus non-charging production account, configuration and webhook checks. The old mandatory pre-launch real-card test is superseded. No actual live capture or refund is claimed. LiveUIN still needs its product fixes and production proof before publication.</w:t>
      </w:r>
    </w:p>
    <w:p>
      <w:r>
        <w:rPr>
          <w:b w:val="0"/>
        </w:rPr>
        <w:t>The existing Core implementation must be preserved. Ern has confirmed the initial whole-home journey. Keep the actual lease, listing type and dates; change type only after an authorized lease or listing transition. The Sierra is a genuine owner-provided publication showing availability on 16 September 2027, but it is not independently verified. Whole-home scope is now settled; its availability and application terms still need proof.</w:t>
      </w:r>
    </w:p>
    <w:p>
      <w:pPr>
        <w:pStyle w:val="Heading2"/>
      </w:pPr>
      <w:r>
        <w:rPr>
          <w:color w:val="000000"/>
        </w:rPr>
        <w:t>What this revised plan changes</w:t>
      </w:r>
    </w:p>
    <w:p>
      <w:pPr>
        <w:pStyle w:val="ListBullet"/>
      </w:pPr>
      <w:r>
        <w:rPr>
          <w:b w:val="0"/>
        </w:rPr>
        <w:t>R01 protects all 21 identified private operations before database recovery, including control-centre, developer-portal and private content actions. Supplied role or workspace values cannot grant access.</w:t>
      </w:r>
    </w:p>
    <w:p>
      <w:pPr>
        <w:pStyle w:val="ListBullet"/>
      </w:pPr>
      <w:r>
        <w:rPr>
          <w:b w:val="0"/>
        </w:rPr>
        <w:t>Each issue includes its minimum working screen. Applicable authority and accepted terms must be proved before the first affected real action; R23 cannot approve it afterwards.</w:t>
      </w:r>
    </w:p>
    <w:p>
      <w:pPr>
        <w:pStyle w:val="ListBullet"/>
      </w:pPr>
      <w:r>
        <w:rPr>
          <w:b w:val="0"/>
        </w:rPr>
        <w:t>Payment proof includes case invoices, receipts and refund approval/payee records. Signing retains the exact approved version, document hashes, signer authority, consent and time. Test fixtures cannot count as production approval.</w:t>
      </w:r>
    </w:p>
    <w:p>
      <w:pPr>
        <w:pStyle w:val="ListBullet"/>
      </w:pPr>
      <w:r>
        <w:rPr>
          <w:b w:val="0"/>
        </w:rPr>
        <w:t>The accepted payment amendment changes only the pre-launch money-test requirement. The commercial card still needs ACCEPT; account, recovery and governance proof remain mandatory. The IGEMA payment stays excluded.</w:t>
      </w:r>
    </w:p>
    <w:p>
      <w:pPr>
        <w:pStyle w:val="Heading2"/>
      </w:pPr>
      <w:r>
        <w:rPr>
          <w:color w:val="000000"/>
        </w:rPr>
        <w:t>The agreed product outcome</w:t>
      </w:r>
    </w:p>
    <w:p>
      <w:r>
        <w:rPr>
          <w:b w:val="0"/>
        </w:rPr>
        <w:t>A parent or agent finds real LiveUIN stock and sends a request. The request becomes one durable LiveUIN case. Staff work that case; the family opens its own case and signs; payment status and the ledger agree. Samples are honest, private records stay private, and recovery has been demonstrated. Only then is the owner given one tested publish action.</w:t>
      </w:r>
    </w:p>
    <w:p>
      <w:r>
        <w:rPr>
          <w:b w:val="0"/>
        </w:rPr>
        <w:t>Only R01 has started as a staged repair with isolated tests. It has not passed or been deployed. Production activation/recovery access, deployed allow/refuse checks and public-charge denial remain to be proved. R02 cannot begin yet. The original attachment is preserved; imported tenancies were not used or emailed.</w:t>
      </w:r>
    </w:p>
    <w:p>
      <w:pPr>
        <w:spacing w:after="100"/>
      </w:pPr>
      <w:hyperlink r:id="rId11">
        <w:r>
          <w:rPr>
            <w:color w:val="174D70"/>
            <w:u w:val="single"/>
          </w:rPr>
          <w:t>Companion audit and evidence index</w:t>
        </w:r>
      </w:hyperlink>
    </w:p>
    <w:p>
      <w:pPr>
        <w:spacing w:after="100"/>
      </w:pPr>
      <w:hyperlink r:id="rId12">
        <w:r>
          <w:rPr>
            <w:color w:val="174D70"/>
            <w:u w:val="single"/>
          </w:rPr>
          <w:t>Authoritative FREEZE PLAN 01 with all evidence and exclusions</w:t>
        </w:r>
      </w:hyperlink>
    </w:p>
    <w:p>
      <w:r>
        <w:br w:type="page"/>
      </w:r>
    </w:p>
    <w:p>
      <w:pPr>
        <w:pStyle w:val="Heading1"/>
      </w:pPr>
      <w:r>
        <w:rPr>
          <w:color w:val="000000"/>
        </w:rPr>
        <w:t>The surfaces checked on 19 October</w:t>
      </w:r>
    </w:p>
    <w:p>
      <w:r>
        <w:rPr>
          <w:b w:val="0"/>
        </w:rPr>
        <w:t>These labels describe the exact job observed. A working health page or sign-in gate does not certify the service behind it. “Model house” includes a real shell whose customer journey is still unproven.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440"/>
        <w:gridCol w:w="6120"/>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8"/>
              </w:rPr>
              <w:t>Surface</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8"/>
              </w:rPr>
              <w:t>Classification</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8"/>
              </w:rPr>
              <w:t>Observed result and limit</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18"/>
              </w:rPr>
              <w:t>liveuin.com and www</w:t>
            </w:r>
          </w:p>
        </w:tc>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18"/>
              </w:rPr>
              <w:t>Lights on</w:t>
            </w:r>
          </w:p>
        </w:tc>
        <w:tc>
          <w:tcPr>
            <w:tcW w:type="dxa" w:w="6120"/>
            <w:vAlign w:val="center"/>
            <w:tcMar>
              <w:top w:w="90" w:type="dxa"/>
              <w:bottom w:w="90" w:type="dxa"/>
              <w:left w:w="90" w:type="dxa"/>
              <w:right w:w="90" w:type="dxa"/>
            </w:tcMar>
            <w:shd w:fill="F4F6F7"/>
          </w:tcPr>
          <w:p>
            <w:pPr>
              <w:spacing w:after="0" w:line="250" w:lineRule="auto"/>
            </w:pPr>
            <w:r>
              <w:rPr>
                <w:rFonts w:ascii="Arial" w:hAnsi="Arial"/>
                <w:b w:val="0"/>
                <w:color w:val="000000"/>
                <w:sz w:val="18"/>
              </w:rPr>
              <w:t>Public marketing renders; the customer journey is not certified.</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18"/>
              </w:rPr>
              <w:t>/stay and /search</w:t>
            </w:r>
          </w:p>
        </w:tc>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18"/>
              </w:rPr>
              <w:t>Model house</w:t>
            </w:r>
          </w:p>
        </w:tc>
        <w:tc>
          <w:tcPr>
            <w:tcW w:type="dxa" w:w="6120"/>
            <w:vAlign w:val="center"/>
            <w:tcMar>
              <w:top w:w="90" w:type="dxa"/>
              <w:bottom w:w="90" w:type="dxa"/>
              <w:left w:w="90" w:type="dxa"/>
              <w:right w:w="90" w:type="dxa"/>
            </w:tcMar>
            <w:shd w:fill="FFFFFF"/>
          </w:tcPr>
          <w:p>
            <w:pPr>
              <w:spacing w:after="0" w:line="250" w:lineRule="auto"/>
            </w:pPr>
            <w:r>
              <w:rPr>
                <w:rFonts w:ascii="Arial" w:hAnsi="Arial"/>
                <w:b w:val="0"/>
                <w:color w:val="000000"/>
                <w:sz w:val="18"/>
              </w:rPr>
              <w:t>Examples are disclosed in search, but badges, detail pages and checkout can still suggest real availability.</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18"/>
              </w:rPr>
              <w:t>The Sierra</w:t>
            </w:r>
          </w:p>
        </w:tc>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18"/>
              </w:rPr>
              <w:t>Lights on</w:t>
            </w:r>
          </w:p>
        </w:tc>
        <w:tc>
          <w:tcPr>
            <w:tcW w:type="dxa" w:w="6120"/>
            <w:vAlign w:val="center"/>
            <w:tcMar>
              <w:top w:w="90" w:type="dxa"/>
              <w:bottom w:w="90" w:type="dxa"/>
              <w:left w:w="90" w:type="dxa"/>
              <w:right w:w="90" w:type="dxa"/>
            </w:tcMar>
            <w:shd w:fill="F4F6F7"/>
          </w:tcPr>
          <w:p>
            <w:pPr>
              <w:spacing w:after="0" w:line="250" w:lineRule="auto"/>
            </w:pPr>
            <w:r>
              <w:rPr>
                <w:rFonts w:ascii="Arial" w:hAnsi="Arial"/>
                <w:b w:val="0"/>
                <w:color w:val="000000"/>
                <w:sz w:val="18"/>
              </w:rPr>
              <w:t>Listing publication only. Future whole home; request needs sign-in; holds, instant booking and payments are disabled.</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18"/>
              </w:rPr>
              <w:t>app.liveuin.com</w:t>
            </w:r>
          </w:p>
        </w:tc>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18"/>
              </w:rPr>
              <w:t>Model house</w:t>
            </w:r>
          </w:p>
        </w:tc>
        <w:tc>
          <w:tcPr>
            <w:tcW w:type="dxa" w:w="6120"/>
            <w:vAlign w:val="center"/>
            <w:tcMar>
              <w:top w:w="90" w:type="dxa"/>
              <w:bottom w:w="90" w:type="dxa"/>
              <w:left w:w="90" w:type="dxa"/>
              <w:right w:w="90" w:type="dxa"/>
            </w:tcMar>
            <w:shd w:fill="FFFFFF"/>
          </w:tcPr>
          <w:p>
            <w:pPr>
              <w:spacing w:after="0" w:line="250" w:lineRule="auto"/>
            </w:pPr>
            <w:r>
              <w:rPr>
                <w:rFonts w:ascii="Arial" w:hAnsi="Arial"/>
                <w:b w:val="0"/>
                <w:color w:val="000000"/>
                <w:sz w:val="18"/>
              </w:rPr>
              <w:t>Member entry exists. Own-case access, signing and payment status were not exercised.</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18"/>
              </w:rPr>
              <w:t>host.liveuin.com</w:t>
            </w:r>
          </w:p>
        </w:tc>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18"/>
              </w:rPr>
              <w:t>Model house</w:t>
            </w:r>
          </w:p>
        </w:tc>
        <w:tc>
          <w:tcPr>
            <w:tcW w:type="dxa" w:w="6120"/>
            <w:vAlign w:val="center"/>
            <w:tcMar>
              <w:top w:w="90" w:type="dxa"/>
              <w:bottom w:w="90" w:type="dxa"/>
              <w:left w:w="90" w:type="dxa"/>
              <w:right w:w="90" w:type="dxa"/>
            </w:tcMar>
            <w:shd w:fill="F4F6F7"/>
          </w:tcPr>
          <w:p>
            <w:pPr>
              <w:spacing w:after="0" w:line="250" w:lineRule="auto"/>
            </w:pPr>
            <w:r>
              <w:rPr>
                <w:rFonts w:ascii="Arial" w:hAnsi="Arial"/>
                <w:b w:val="0"/>
                <w:color w:val="000000"/>
                <w:sz w:val="18"/>
              </w:rPr>
              <w:t>Approved-email gate exists. Own-listing and finance isolation are unproven.</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18"/>
              </w:rPr>
              <w:t>ops.liveuin.com</w:t>
            </w:r>
          </w:p>
        </w:tc>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18"/>
              </w:rPr>
              <w:t>Model house</w:t>
            </w:r>
          </w:p>
        </w:tc>
        <w:tc>
          <w:tcPr>
            <w:tcW w:type="dxa" w:w="6120"/>
            <w:vAlign w:val="center"/>
            <w:tcMar>
              <w:top w:w="90" w:type="dxa"/>
              <w:bottom w:w="90" w:type="dxa"/>
              <w:left w:w="90" w:type="dxa"/>
              <w:right w:w="90" w:type="dxa"/>
            </w:tcMar>
            <w:shd w:fill="FFFFFF"/>
          </w:tcPr>
          <w:p>
            <w:pPr>
              <w:spacing w:after="0" w:line="250" w:lineRule="auto"/>
            </w:pPr>
            <w:r>
              <w:rPr>
                <w:rFonts w:ascii="Arial" w:hAnsi="Arial"/>
                <w:b w:val="0"/>
                <w:color w:val="000000"/>
                <w:sz w:val="18"/>
              </w:rPr>
              <w:t>Login gate exists. Staff desk proof is outstanding and the summary API crashes.</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18"/>
              </w:rPr>
              <w:t>api.liveuin.com</w:t>
            </w:r>
          </w:p>
        </w:tc>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18"/>
              </w:rPr>
              <w:t>Model house</w:t>
            </w:r>
          </w:p>
        </w:tc>
        <w:tc>
          <w:tcPr>
            <w:tcW w:type="dxa" w:w="6120"/>
            <w:vAlign w:val="center"/>
            <w:tcMar>
              <w:top w:w="90" w:type="dxa"/>
              <w:bottom w:w="90" w:type="dxa"/>
              <w:left w:w="90" w:type="dxa"/>
              <w:right w:w="90" w:type="dxa"/>
            </w:tcMar>
            <w:shd w:fill="F4F6F7"/>
          </w:tcPr>
          <w:p>
            <w:pPr>
              <w:spacing w:after="0" w:line="250" w:lineRule="auto"/>
            </w:pPr>
            <w:r>
              <w:rPr>
                <w:rFonts w:ascii="Arial" w:hAnsi="Arial"/>
                <w:b w:val="0"/>
                <w:color w:val="000000"/>
                <w:sz w:val="18"/>
              </w:rPr>
              <w:t>Health is 200, but search, public status and staff summary each return 500.</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18"/>
              </w:rPr>
              <w:t>partner.liveuin.com</w:t>
            </w:r>
          </w:p>
        </w:tc>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18"/>
              </w:rPr>
              <w:t>Model house</w:t>
            </w:r>
          </w:p>
        </w:tc>
        <w:tc>
          <w:tcPr>
            <w:tcW w:type="dxa" w:w="6120"/>
            <w:vAlign w:val="center"/>
            <w:tcMar>
              <w:top w:w="90" w:type="dxa"/>
              <w:bottom w:w="90" w:type="dxa"/>
              <w:left w:w="90" w:type="dxa"/>
              <w:right w:w="90" w:type="dxa"/>
            </w:tcMar>
            <w:shd w:fill="FFFFFF"/>
          </w:tcPr>
          <w:p>
            <w:pPr>
              <w:spacing w:after="0" w:line="250" w:lineRule="auto"/>
            </w:pPr>
            <w:r>
              <w:rPr>
                <w:rFonts w:ascii="Arial" w:hAnsi="Arial"/>
                <w:b w:val="0"/>
                <w:color w:val="000000"/>
                <w:sz w:val="18"/>
              </w:rPr>
              <w:t>Access remains closed or unverified. Agent leads, share and case continuity are not proved.</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18"/>
              </w:rPr>
              <w:t>pay.igema.space</w:t>
            </w:r>
          </w:p>
        </w:tc>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18"/>
              </w:rPr>
              <w:t>Lights on</w:t>
            </w:r>
          </w:p>
        </w:tc>
        <w:tc>
          <w:tcPr>
            <w:tcW w:type="dxa" w:w="6120"/>
            <w:vAlign w:val="center"/>
            <w:tcMar>
              <w:top w:w="90" w:type="dxa"/>
              <w:bottom w:w="90" w:type="dxa"/>
              <w:left w:w="90" w:type="dxa"/>
              <w:right w:w="90" w:type="dxa"/>
            </w:tcMar>
            <w:shd w:fill="F4F6F7"/>
          </w:tcPr>
          <w:p>
            <w:pPr>
              <w:spacing w:after="0" w:line="250" w:lineRule="auto"/>
            </w:pPr>
            <w:r>
              <w:rPr>
                <w:rFonts w:ascii="Arial" w:hAnsi="Arial"/>
                <w:b w:val="0"/>
                <w:color w:val="000000"/>
                <w:sz w:val="18"/>
              </w:rPr>
              <w:t>Health/test configuration only: 0.9.0-staging; Stripe test; SQLite; live mode and refund executor off.</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18"/>
              </w:rPr>
              <w:t>core-staging hostname</w:t>
            </w:r>
          </w:p>
        </w:tc>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18"/>
              </w:rPr>
              <w:t>Empty plot</w:t>
            </w:r>
          </w:p>
        </w:tc>
        <w:tc>
          <w:tcPr>
            <w:tcW w:type="dxa" w:w="6120"/>
            <w:vAlign w:val="center"/>
            <w:tcMar>
              <w:top w:w="90" w:type="dxa"/>
              <w:bottom w:w="90" w:type="dxa"/>
              <w:left w:w="90" w:type="dxa"/>
              <w:right w:w="90" w:type="dxa"/>
            </w:tcMar>
            <w:shd w:fill="FFFFFF"/>
          </w:tcPr>
          <w:p>
            <w:pPr>
              <w:spacing w:after="0" w:line="250" w:lineRule="auto"/>
            </w:pPr>
            <w:r>
              <w:rPr>
                <w:rFonts w:ascii="Arial" w:hAnsi="Arial"/>
                <w:b w:val="0"/>
                <w:color w:val="000000"/>
                <w:sz w:val="18"/>
              </w:rPr>
              <w:t>This address does not resolve. Other Core and staging services do exist.</w:t>
            </w:r>
          </w:p>
        </w:tc>
      </w:tr>
    </w:tbl>
    <w:p>
      <w:pPr>
        <w:spacing w:after="120" w:before="0" w:line="20" w:lineRule="exact"/>
      </w:pPr>
      <w:r>
        <w:rPr>
          <w:sz w:val="2"/>
        </w:rPr>
      </w:r>
    </w:p>
    <w:p>
      <w:pPr>
        <w:pStyle w:val="Heading2"/>
      </w:pPr>
      <w:r>
        <w:rPr>
          <w:color w:val="000000"/>
        </w:rPr>
        <w:t>A real listing with important limits</w:t>
      </w:r>
    </w:p>
    <w:p>
      <w:r>
        <w:rPr>
          <w:b w:val="0"/>
        </w:rPr>
        <w:t>Sierra has canonical property and unit references, three bedrooms and a monthly request price of S$6,400. That is rent, not the platform fee. Ern confirmed the whole-home journey; a later type change follows the actual authorized lease/listing transition. Its public data states a 12-month minimum; the page welcomes lawful proposals of at least three months with one year preferred. Those terms must be reconciled before application testing; no speculative room split is included.</w:t>
      </w:r>
    </w:p>
    <w:p>
      <w:r>
        <w:rPr>
          <w:b w:val="0"/>
        </w:rPr>
        <w:t>The site is already publicly browsable. The eventual publish action must therefore control admission to the approved pilot and live charging, with server enforcement. It cannot pretend the website has been invisible until that moment.</w:t>
      </w:r>
    </w:p>
    <w:p>
      <w:pPr>
        <w:spacing w:after="100"/>
      </w:pPr>
      <w:hyperlink r:id="rId13">
        <w:r>
          <w:rPr>
            <w:color w:val="174D70"/>
            <w:u w:val="single"/>
          </w:rPr>
          <w:t>Live surface and API evidence</w:t>
        </w:r>
      </w:hyperlink>
    </w:p>
    <w:p>
      <w:pPr>
        <w:spacing w:after="100"/>
      </w:pPr>
      <w:hyperlink r:id="rId14">
        <w:r>
          <w:rPr>
            <w:color w:val="174D70"/>
            <w:u w:val="single"/>
          </w:rPr>
          <w:t>Sierra public listing</w:t>
        </w:r>
      </w:hyperlink>
    </w:p>
    <w:p>
      <w:r>
        <w:br w:type="page"/>
      </w:r>
    </w:p>
    <w:p>
      <w:pPr>
        <w:pStyle w:val="Heading1"/>
      </w:pPr>
      <w:r>
        <w:rPr>
          <w:color w:val="000000"/>
        </w:rPr>
        <w:t>The evidence and the original P0 to P6 ladder</w:t>
      </w:r>
    </w:p>
    <w:p>
      <w:r>
        <w:rPr>
          <w:b w:val="0"/>
        </w:rPr>
        <w:t>The actual entry points for four LiveUIN services are identified. Checksums now record deployed source, service definitions and web-server routing, including the protected Ops entry file. Identity carries release label 20261016-1e9dca6; this is not a verified Git commit. The production roots have no Git metadata. Source identification is established at file-version level; a reproducible release and effective store settings are not yet proved.</w:t>
      </w:r>
    </w:p>
    <w:p>
      <w:r>
        <w:rPr>
          <w:b w:val="0"/>
        </w:rPr>
        <w:t>GitHub main contains a README, while 74 branches include existing source and integration work. The reported “33 issues” is one issue plus 32 pull requests. Preserve the existing Core; no replacement backend or wholesale local upload is justified.</w:t>
      </w:r>
    </w:p>
    <w:p>
      <w:r>
        <w:rPr>
          <w:b w:val="0"/>
        </w:rPr>
        <w:t>The three API failures share a rejected database identity. R01 now covers 21 mounted private operations: seven control-centre reads, five developer-portal reads, two draft-blog reads, six content writes and the rollout-status read. They need canonical identity, role, workspace and site checks; developer reads need platform-admin authority. Lock these before database recovery. No private-document disclosure is claimed.</w:t>
      </w:r>
    </w:p>
    <w:p>
      <w:r>
        <w:rPr>
          <w:b w:val="0"/>
        </w:rPr>
        <w:t>The four supplied archives repeat identical copies of the LiveUIN README, sitemap and tracker. The feature register records zero production approvals, not zero implementation. Its wider beta hold remains. The July map contains 48 phase entries but 46 distinct routes because P6 repeats two P4 routes; 9 promoted plus 37 not-live refers to those distinct routes.</w:t>
      </w:r>
    </w:p>
    <w:p>
      <w:pPr>
        <w:pStyle w:val="Heading2"/>
      </w:pPr>
      <w:r>
        <w:rPr>
          <w:color w:val="000000"/>
        </w:rPr>
        <w:t>Use the existing ladder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2664"/>
        <w:gridCol w:w="6408"/>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8"/>
              </w:rPr>
              <w:t>Phase</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8"/>
              </w:rPr>
              <w:t>Meaning</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8"/>
              </w:rPr>
              <w:t>Exit signal</w:t>
            </w:r>
          </w:p>
        </w:tc>
      </w:tr>
      <w:tr>
        <w:trPr>
          <w:cantSplit/>
        </w:trPr>
        <w:tc>
          <w:tcPr>
            <w:tcW w:type="dxa" w:w="720"/>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8"/>
              </w:rPr>
              <w:t>P0</w:t>
            </w:r>
          </w:p>
        </w:tc>
        <w:tc>
          <w:tcPr>
            <w:tcW w:type="dxa" w:w="2664"/>
            <w:vAlign w:val="center"/>
            <w:tcMar>
              <w:top w:w="90" w:type="dxa"/>
              <w:bottom w:w="90" w:type="dxa"/>
              <w:left w:w="90" w:type="dxa"/>
              <w:right w:w="90" w:type="dxa"/>
            </w:tcMar>
            <w:shd w:fill="F4F6F7"/>
          </w:tcPr>
          <w:p>
            <w:pPr>
              <w:spacing w:after="0" w:line="250" w:lineRule="auto"/>
            </w:pPr>
            <w:r>
              <w:rPr>
                <w:rFonts w:ascii="Arial" w:hAnsi="Arial"/>
                <w:b w:val="0"/>
                <w:color w:val="000000"/>
                <w:sz w:val="18"/>
              </w:rPr>
              <w:t>Basic product skeleton</w:t>
            </w:r>
          </w:p>
        </w:tc>
        <w:tc>
          <w:tcPr>
            <w:tcW w:type="dxa" w:w="6408"/>
            <w:vAlign w:val="center"/>
            <w:tcMar>
              <w:top w:w="90" w:type="dxa"/>
              <w:bottom w:w="90" w:type="dxa"/>
              <w:left w:w="90" w:type="dxa"/>
              <w:right w:w="90" w:type="dxa"/>
            </w:tcMar>
            <w:shd w:fill="F4F6F7"/>
          </w:tcPr>
          <w:p>
            <w:pPr>
              <w:spacing w:after="0" w:line="250" w:lineRule="auto"/>
            </w:pPr>
            <w:r>
              <w:rPr>
                <w:rFonts w:ascii="Arial" w:hAnsi="Arial"/>
                <w:b w:val="0"/>
                <w:color w:val="000000"/>
                <w:sz w:val="18"/>
              </w:rPr>
              <w:t>Safe starting routes and correct ownership of product records.</w:t>
            </w:r>
          </w:p>
        </w:tc>
      </w:tr>
      <w:tr>
        <w:trPr>
          <w:cantSplit/>
        </w:trPr>
        <w:tc>
          <w:tcPr>
            <w:tcW w:type="dxa" w:w="720"/>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8"/>
              </w:rPr>
              <w:t>P1</w:t>
            </w:r>
          </w:p>
        </w:tc>
        <w:tc>
          <w:tcPr>
            <w:tcW w:type="dxa" w:w="2664"/>
            <w:vAlign w:val="center"/>
            <w:tcMar>
              <w:top w:w="90" w:type="dxa"/>
              <w:bottom w:w="90" w:type="dxa"/>
              <w:left w:w="90" w:type="dxa"/>
              <w:right w:w="90" w:type="dxa"/>
            </w:tcMar>
            <w:shd w:fill="FFFFFF"/>
          </w:tcPr>
          <w:p>
            <w:pPr>
              <w:spacing w:after="0" w:line="250" w:lineRule="auto"/>
            </w:pPr>
            <w:r>
              <w:rPr>
                <w:rFonts w:ascii="Arial" w:hAnsi="Arial"/>
                <w:b w:val="0"/>
                <w:color w:val="000000"/>
                <w:sz w:val="18"/>
              </w:rPr>
              <w:t>Understand and start the funnel</w:t>
            </w:r>
          </w:p>
        </w:tc>
        <w:tc>
          <w:tcPr>
            <w:tcW w:type="dxa" w:w="6408"/>
            <w:vAlign w:val="center"/>
            <w:tcMar>
              <w:top w:w="90" w:type="dxa"/>
              <w:bottom w:w="90" w:type="dxa"/>
              <w:left w:w="90" w:type="dxa"/>
              <w:right w:w="90" w:type="dxa"/>
            </w:tcMar>
            <w:shd w:fill="FFFFFF"/>
          </w:tcPr>
          <w:p>
            <w:pPr>
              <w:spacing w:after="0" w:line="250" w:lineRule="auto"/>
            </w:pPr>
            <w:r>
              <w:rPr>
                <w:rFonts w:ascii="Arial" w:hAnsi="Arial"/>
                <w:b w:val="0"/>
                <w:color w:val="000000"/>
                <w:sz w:val="18"/>
              </w:rPr>
              <w:t>Clear tenant, owner, partner, vendor and Connect entry paths.</w:t>
            </w:r>
          </w:p>
        </w:tc>
      </w:tr>
      <w:tr>
        <w:trPr>
          <w:cantSplit/>
        </w:trPr>
        <w:tc>
          <w:tcPr>
            <w:tcW w:type="dxa" w:w="720"/>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8"/>
              </w:rPr>
              <w:t>P2</w:t>
            </w:r>
          </w:p>
        </w:tc>
        <w:tc>
          <w:tcPr>
            <w:tcW w:type="dxa" w:w="2664"/>
            <w:vAlign w:val="center"/>
            <w:tcMar>
              <w:top w:w="90" w:type="dxa"/>
              <w:bottom w:w="90" w:type="dxa"/>
              <w:left w:w="90" w:type="dxa"/>
              <w:right w:w="90" w:type="dxa"/>
            </w:tcMar>
            <w:shd w:fill="F4F6F7"/>
          </w:tcPr>
          <w:p>
            <w:pPr>
              <w:spacing w:after="0" w:line="250" w:lineRule="auto"/>
            </w:pPr>
            <w:r>
              <w:rPr>
                <w:rFonts w:ascii="Arial" w:hAnsi="Arial"/>
                <w:b w:val="0"/>
                <w:color w:val="000000"/>
                <w:sz w:val="18"/>
              </w:rPr>
              <w:t>Public CMS trust legal and support</w:t>
            </w:r>
          </w:p>
        </w:tc>
        <w:tc>
          <w:tcPr>
            <w:tcW w:type="dxa" w:w="6408"/>
            <w:vAlign w:val="center"/>
            <w:tcMar>
              <w:top w:w="90" w:type="dxa"/>
              <w:bottom w:w="90" w:type="dxa"/>
              <w:left w:w="90" w:type="dxa"/>
              <w:right w:w="90" w:type="dxa"/>
            </w:tcMar>
            <w:shd w:fill="F4F6F7"/>
          </w:tcPr>
          <w:p>
            <w:pPr>
              <w:spacing w:after="0" w:line="250" w:lineRule="auto"/>
            </w:pPr>
            <w:r>
              <w:rPr>
                <w:rFonts w:ascii="Arial" w:hAnsi="Arial"/>
                <w:b w:val="0"/>
                <w:color w:val="000000"/>
                <w:sz w:val="18"/>
              </w:rPr>
              <w:t>Reviewed public pages backed by the intended content/API source.</w:t>
            </w:r>
          </w:p>
        </w:tc>
      </w:tr>
      <w:tr>
        <w:trPr>
          <w:cantSplit/>
        </w:trPr>
        <w:tc>
          <w:tcPr>
            <w:tcW w:type="dxa" w:w="720"/>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8"/>
              </w:rPr>
              <w:t>P3</w:t>
            </w:r>
          </w:p>
        </w:tc>
        <w:tc>
          <w:tcPr>
            <w:tcW w:type="dxa" w:w="2664"/>
            <w:vAlign w:val="center"/>
            <w:tcMar>
              <w:top w:w="90" w:type="dxa"/>
              <w:bottom w:w="90" w:type="dxa"/>
              <w:left w:w="90" w:type="dxa"/>
              <w:right w:w="90" w:type="dxa"/>
            </w:tcMar>
            <w:shd w:fill="FFFFFF"/>
          </w:tcPr>
          <w:p>
            <w:pPr>
              <w:spacing w:after="0" w:line="250" w:lineRule="auto"/>
            </w:pPr>
            <w:r>
              <w:rPr>
                <w:rFonts w:ascii="Arial" w:hAnsi="Arial"/>
                <w:b w:val="0"/>
                <w:color w:val="000000"/>
                <w:sz w:val="18"/>
              </w:rPr>
              <w:t>Member host wallet and Pass continuity</w:t>
            </w:r>
          </w:p>
        </w:tc>
        <w:tc>
          <w:tcPr>
            <w:tcW w:type="dxa" w:w="6408"/>
            <w:vAlign w:val="center"/>
            <w:tcMar>
              <w:top w:w="90" w:type="dxa"/>
              <w:bottom w:w="90" w:type="dxa"/>
              <w:left w:w="90" w:type="dxa"/>
              <w:right w:w="90" w:type="dxa"/>
            </w:tcMar>
            <w:shd w:fill="FFFFFF"/>
          </w:tcPr>
          <w:p>
            <w:pPr>
              <w:spacing w:after="0" w:line="250" w:lineRule="auto"/>
            </w:pPr>
            <w:r>
              <w:rPr>
                <w:rFonts w:ascii="Arial" w:hAnsi="Arial"/>
                <w:b w:val="0"/>
                <w:color w:val="000000"/>
                <w:sz w:val="18"/>
              </w:rPr>
              <w:t>Role dashboards and payment views separated by persona and scope.</w:t>
            </w:r>
          </w:p>
        </w:tc>
      </w:tr>
      <w:tr>
        <w:trPr>
          <w:cantSplit/>
        </w:trPr>
        <w:tc>
          <w:tcPr>
            <w:tcW w:type="dxa" w:w="720"/>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8"/>
              </w:rPr>
              <w:t>P4</w:t>
            </w:r>
          </w:p>
        </w:tc>
        <w:tc>
          <w:tcPr>
            <w:tcW w:type="dxa" w:w="2664"/>
            <w:vAlign w:val="center"/>
            <w:tcMar>
              <w:top w:w="90" w:type="dxa"/>
              <w:bottom w:w="90" w:type="dxa"/>
              <w:left w:w="90" w:type="dxa"/>
              <w:right w:w="90" w:type="dxa"/>
            </w:tcMar>
            <w:shd w:fill="F4F6F7"/>
          </w:tcPr>
          <w:p>
            <w:pPr>
              <w:spacing w:after="0" w:line="250" w:lineRule="auto"/>
            </w:pPr>
            <w:r>
              <w:rPr>
                <w:rFonts w:ascii="Arial" w:hAnsi="Arial"/>
                <w:b w:val="0"/>
                <w:color w:val="000000"/>
                <w:sz w:val="18"/>
              </w:rPr>
              <w:t>Canonical Ops</w:t>
            </w:r>
          </w:p>
        </w:tc>
        <w:tc>
          <w:tcPr>
            <w:tcW w:type="dxa" w:w="6408"/>
            <w:vAlign w:val="center"/>
            <w:tcMar>
              <w:top w:w="90" w:type="dxa"/>
              <w:bottom w:w="90" w:type="dxa"/>
              <w:left w:w="90" w:type="dxa"/>
              <w:right w:w="90" w:type="dxa"/>
            </w:tcMar>
            <w:shd w:fill="F4F6F7"/>
          </w:tcPr>
          <w:p>
            <w:pPr>
              <w:spacing w:after="0" w:line="250" w:lineRule="auto"/>
            </w:pPr>
            <w:r>
              <w:rPr>
                <w:rFonts w:ascii="Arial" w:hAnsi="Arial"/>
                <w:b w:val="0"/>
                <w:color w:val="000000"/>
                <w:sz w:val="18"/>
              </w:rPr>
              <w:t>Command, cases, payments and review actions use private role controls.</w:t>
            </w:r>
          </w:p>
        </w:tc>
      </w:tr>
      <w:tr>
        <w:trPr>
          <w:cantSplit/>
        </w:trPr>
        <w:tc>
          <w:tcPr>
            <w:tcW w:type="dxa" w:w="720"/>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8"/>
              </w:rPr>
              <w:t>P5</w:t>
            </w:r>
          </w:p>
        </w:tc>
        <w:tc>
          <w:tcPr>
            <w:tcW w:type="dxa" w:w="2664"/>
            <w:vAlign w:val="center"/>
            <w:tcMar>
              <w:top w:w="90" w:type="dxa"/>
              <w:bottom w:w="90" w:type="dxa"/>
              <w:left w:w="90" w:type="dxa"/>
              <w:right w:w="90" w:type="dxa"/>
            </w:tcMar>
            <w:shd w:fill="FFFFFF"/>
          </w:tcPr>
          <w:p>
            <w:pPr>
              <w:spacing w:after="0" w:line="250" w:lineRule="auto"/>
            </w:pPr>
            <w:r>
              <w:rPr>
                <w:rFonts w:ascii="Arial" w:hAnsi="Arial"/>
                <w:b w:val="0"/>
                <w:color w:val="000000"/>
                <w:sz w:val="18"/>
              </w:rPr>
              <w:t>Operational ecosystem split</w:t>
            </w:r>
          </w:p>
        </w:tc>
        <w:tc>
          <w:tcPr>
            <w:tcW w:type="dxa" w:w="6408"/>
            <w:vAlign w:val="center"/>
            <w:tcMar>
              <w:top w:w="90" w:type="dxa"/>
              <w:bottom w:w="90" w:type="dxa"/>
              <w:left w:w="90" w:type="dxa"/>
              <w:right w:w="90" w:type="dxa"/>
            </w:tcMar>
            <w:shd w:fill="FFFFFF"/>
          </w:tcPr>
          <w:p>
            <w:pPr>
              <w:spacing w:after="0" w:line="250" w:lineRule="auto"/>
            </w:pPr>
            <w:r>
              <w:rPr>
                <w:rFonts w:ascii="Arial" w:hAnsi="Arial"/>
                <w:b w:val="0"/>
                <w:color w:val="000000"/>
                <w:sz w:val="18"/>
              </w:rPr>
              <w:t>Included partner, vendor, corridor and connector entries are controlled and role-aware.</w:t>
            </w:r>
          </w:p>
        </w:tc>
      </w:tr>
      <w:tr>
        <w:trPr>
          <w:cantSplit/>
        </w:trPr>
        <w:tc>
          <w:tcPr>
            <w:tcW w:type="dxa" w:w="720"/>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8"/>
              </w:rPr>
              <w:t>P6</w:t>
            </w:r>
          </w:p>
        </w:tc>
        <w:tc>
          <w:tcPr>
            <w:tcW w:type="dxa" w:w="2664"/>
            <w:vAlign w:val="center"/>
            <w:tcMar>
              <w:top w:w="90" w:type="dxa"/>
              <w:bottom w:w="90" w:type="dxa"/>
              <w:left w:w="90" w:type="dxa"/>
              <w:right w:w="90" w:type="dxa"/>
            </w:tcMar>
            <w:shd w:fill="F4F6F7"/>
          </w:tcPr>
          <w:p>
            <w:pPr>
              <w:spacing w:after="0" w:line="250" w:lineRule="auto"/>
            </w:pPr>
            <w:r>
              <w:rPr>
                <w:rFonts w:ascii="Arial" w:hAnsi="Arial"/>
                <w:b w:val="0"/>
                <w:color w:val="000000"/>
                <w:sz w:val="18"/>
              </w:rPr>
              <w:t>Production scale and governance</w:t>
            </w:r>
          </w:p>
        </w:tc>
        <w:tc>
          <w:tcPr>
            <w:tcW w:type="dxa" w:w="6408"/>
            <w:vAlign w:val="center"/>
            <w:tcMar>
              <w:top w:w="90" w:type="dxa"/>
              <w:bottom w:w="90" w:type="dxa"/>
              <w:left w:w="90" w:type="dxa"/>
              <w:right w:w="90" w:type="dxa"/>
            </w:tcMar>
            <w:shd w:fill="F4F6F7"/>
          </w:tcPr>
          <w:p>
            <w:pPr>
              <w:spacing w:after="0" w:line="250" w:lineRule="auto"/>
            </w:pPr>
            <w:r>
              <w:rPr>
                <w:rFonts w:ascii="Arial" w:hAnsi="Arial"/>
                <w:b w:val="0"/>
                <w:color w:val="000000"/>
                <w:sz w:val="18"/>
              </w:rPr>
              <w:t>Hardened auth, roles, analytics, automation, observability, server evidence and rollout gates; real recovery and governance proof.</w:t>
            </w:r>
          </w:p>
        </w:tc>
      </w:tr>
    </w:tbl>
    <w:p>
      <w:pPr>
        <w:spacing w:after="120" w:before="0" w:line="20" w:lineRule="exact"/>
      </w:pPr>
      <w:r>
        <w:rPr>
          <w:sz w:val="2"/>
        </w:rPr>
      </w:r>
    </w:p>
    <w:p>
      <w:r>
        <w:rPr>
          <w:b w:val="0"/>
        </w:rPr>
        <w:t>This release must prove the bounded LiveUIN pilot against the P6 controls. It does not declare all 120 features or every future route complete. No open P0 failure may be parked to claim “100% disruption ready”.</w:t>
      </w:r>
    </w:p>
    <w:p>
      <w:pPr>
        <w:spacing w:after="20" w:line="240" w:lineRule="auto"/>
      </w:pPr>
      <w:hyperlink r:id="rId15">
        <w:r>
          <w:rPr>
            <w:color w:val="174D70"/>
            <w:u w:val="single"/>
            <w:sz w:val="18"/>
          </w:rPr>
          <w:t>Blueprints including the canonical sitemap and tracker</w:t>
        </w:r>
      </w:hyperlink>
    </w:p>
    <w:p>
      <w:pPr>
        <w:spacing w:after="20" w:line="240" w:lineRule="auto"/>
      </w:pPr>
      <w:hyperlink r:id="rId16">
        <w:r>
          <w:rPr>
            <w:color w:val="174D70"/>
            <w:u w:val="single"/>
            <w:sz w:val="18"/>
          </w:rPr>
          <w:t>Deployed source and ownership evidence</w:t>
        </w:r>
      </w:hyperlink>
    </w:p>
    <w:p>
      <w:pPr>
        <w:spacing w:after="20" w:line="240" w:lineRule="auto"/>
      </w:pPr>
      <w:hyperlink r:id="rId17">
        <w:r>
          <w:rPr>
            <w:color w:val="174D70"/>
            <w:u w:val="single"/>
            <w:sz w:val="18"/>
          </w:rPr>
          <w:t>Production file-version baseline and its limits</w:t>
        </w:r>
      </w:hyperlink>
    </w:p>
    <w:p>
      <w:r>
        <w:br w:type="page"/>
      </w:r>
    </w:p>
    <w:p>
      <w:pPr>
        <w:pStyle w:val="Heading1"/>
      </w:pPr>
      <w:r>
        <w:rPr>
          <w:color w:val="000000"/>
        </w:rPr>
        <w:t>The frozen queue from R01 to R09</w:t>
      </w:r>
    </w:p>
    <w:p>
      <w:r>
        <w:rPr>
          <w:b w:val="0"/>
        </w:rPr>
        <w:t>These rows keep the required order: crashes and false locks, one real request and case, then account proof. Every row remains open. The full six-column register contains its evidence, issue type and protected exclusions.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520"/>
        <w:gridCol w:w="6581"/>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ID</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Work</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A result Ern can check</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R01</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Lock private operations before data recovery</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All 21 private operations refuse outsiders before data access. Canonical role, workspace and site checks apply; developer reads require platform-admin authority.</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R02</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Recover the existing search and status services</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Search returns honest results or none; public status reports degradation safely; staff data remains locked.</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R03</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Establish the real whole-home journey</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The real whole home has owner authority, correct lease/type/dates, canonical identity and consistent terms. Any later listing-type change requires an authorized transition.</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R04</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Make one request become one LiveUIN case</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A synthetic applicant gives recorded consent and creates one durable LiveUIN case. Retry/reload cannot duplicate it; staff sees the same ID and audit line.</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R05</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Ern's real owner login</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Ern signs in through his existing verified identity, opens the desk and approved own case, is denied another family’s private documents and signs out.</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R06</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Restrict fake staff to test records</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test.staff works synthetic cases only. Production-scope sentinel and other workspaces are denied; sign-out removes access.</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R07</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the limited agent journey</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test.agent sees only own leads, approved share, limited case progress and own commission status. Other agents and staff switches are denied.</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R08</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Prove parent case isolation</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test.parent opens own case and payment state. Other cases, private documents and staff routes are denied; signing completes in R14.</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R09</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host listing isolation</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test.host sees only its test listing and limited related status. Other hosts and payout approval are denied.</w:t>
            </w:r>
          </w:p>
        </w:tc>
      </w:tr>
    </w:tbl>
    <w:p>
      <w:pPr>
        <w:spacing w:after="120" w:before="0" w:line="20" w:lineRule="exact"/>
      </w:pPr>
      <w:r>
        <w:rPr>
          <w:sz w:val="2"/>
        </w:rPr>
      </w:r>
    </w:p>
    <w:p>
      <w:r>
        <w:rPr>
          <w:b w:val="0"/>
        </w:rPr>
        <w:t>R01 must pass before database recovery. R04 includes the minimum secure request form and scoped case display needed to prove its sentence. No temporary open staff desk is allowed.</w:t>
      </w:r>
    </w:p>
    <w:p>
      <w:pPr>
        <w:spacing w:after="100"/>
      </w:pPr>
      <w:hyperlink r:id="rId12">
        <w:r>
          <w:rPr>
            <w:color w:val="174D70"/>
            <w:u w:val="single"/>
          </w:rPr>
          <w:t>Frozen register and excluded changes for each row</w:t>
        </w:r>
      </w:hyperlink>
    </w:p>
    <w:p>
      <w:r>
        <w:br w:type="page"/>
      </w:r>
    </w:p>
    <w:p>
      <w:pPr>
        <w:pStyle w:val="Heading1"/>
      </w:pPr>
      <w:r>
        <w:rPr>
          <w:color w:val="000000"/>
        </w:rPr>
        <w:t>The frozen queue from R10 to R18</w:t>
      </w:r>
    </w:p>
    <w:p>
      <w:r>
        <w:rPr>
          <w:b w:val="0"/>
        </w:rPr>
        <w:t>After account proof, make the showroom honest, prove sandbox payments and non-charging Stripe readiness, finish the required screens, and record the commercial decision. Test mode passes before R12.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520"/>
        <w:gridCol w:w="6581"/>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ID</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Work</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A result Ern can check</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R10</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Make every sample journey honest</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Examples remain labelled throughout cards and details. Unsupported badges disappear; sample bookings/payments cannot complete; menus are honest.</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R11</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Prove Stripe test payments and refunds on the case</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The full sandbox suite passes on the same case/ledger, including test invoice/receipt and refund reason, approver, amount and payee. Public live charging stays off.</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R12</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Stripe production configuration and keep live charging locked</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After R11, verify the production merchant, permissions, methods, currencies, refund settings and HTTPS webhook without a charge. Prove test/live separation and public-charge denial. No real-money pass is claimed.</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R13</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Finish the staff today screen</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One Ops screen shows the test case, next action, pay state and audit line. Actions update the same canonical case.</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R14</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Finish the family case and retained signature</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Retain the exact agreement/template version and document hashes, signer authority, consent and time on one case. Parent/staff retrieve the same signed record; invalid links are refused. Real use requires an approved document.</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R15</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Complete real discovery for the whole home</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A parent finds the agreed real whole home with honest school, MRT, price, lease and date information and a useful no-match state. No speculative room split is shown.</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R16</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Make role navigation and payment screens consistent</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Role views match server scope and locks. The payer/staff sees the same scoped invoice, receipt and refund state.</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R17</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Align support and trust pages with this release</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Help, trust, privacy and contact provide usable paths and accurate promises for the actual pilot.</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R18</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Store and accept the single commercial card</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Store the exact single card as unsigned. Only Ern’s explicit ACCEPT activates its agreed version and scope for public pricing.</w:t>
            </w:r>
          </w:p>
        </w:tc>
      </w:tr>
    </w:tbl>
    <w:p>
      <w:pPr>
        <w:spacing w:after="120" w:before="0" w:line="20" w:lineRule="exact"/>
      </w:pPr>
      <w:r>
        <w:rPr>
          <w:sz w:val="2"/>
        </w:rPr>
      </w:r>
    </w:p>
    <w:p>
      <w:r>
        <w:rPr>
          <w:b w:val="0"/>
        </w:rPr>
        <w:t>R11 includes the minimum test checkout, refund control and case payment view. R16 completes remaining navigation and consistency; it does not excuse an unfinished payment proof. A brochure alone cannot satisfy the real-stock MVP.</w:t>
      </w:r>
    </w:p>
    <w:p>
      <w:pPr>
        <w:spacing w:after="100"/>
      </w:pPr>
      <w:hyperlink r:id="rId12">
        <w:r>
          <w:rPr>
            <w:color w:val="174D70"/>
            <w:u w:val="single"/>
          </w:rPr>
          <w:t>Frozen register and excluded changes for each row</w:t>
        </w:r>
      </w:hyperlink>
    </w:p>
    <w:p>
      <w:r>
        <w:br w:type="page"/>
      </w:r>
    </w:p>
    <w:p>
      <w:pPr>
        <w:pStyle w:val="Heading1"/>
      </w:pPr>
      <w:r>
        <w:rPr>
          <w:color w:val="000000"/>
        </w:rPr>
        <w:t>The frozen queue from R19 to R24</w:t>
      </w:r>
    </w:p>
    <w:p>
      <w:r>
        <w:rPr>
          <w:b w:val="0"/>
        </w:rPr>
        <w:t>These final rows prove production operation and prepare the owner’s publish sheet. The engineering team does not open public admission or live charging.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520"/>
        <w:gridCol w:w="6581"/>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ID</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Work</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A result Ern can check</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R19</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production routing and HTTPS</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Included hosts, deep links and callbacks reach the intended service over verified HTTPS. Record renewal ownership and the safe staging route.</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R20</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Prove logs and operator alerts</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A controlled failure produces a traceable redacted log and a real alert to the responsible operator. Recovery is recorded.</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R21</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backup and restore</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An isolated restore recovers case, signature, inventory links, ledger and audit state. Verify integrity and actual recovery/data-loss windows.</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R22</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Prove the whole journey in browsers</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Desktop and phone-browser runs complete discovery, request, staff case, parent signature and payment status, with required denial checks.</w:t>
            </w:r>
          </w:p>
        </w:tc>
      </w:tr>
      <w:tr>
        <w:trPr>
          <w:cantSplit/>
        </w:trPr>
        <w:tc>
          <w:tcPr>
            <w:tcW w:type="dxa" w:w="691"/>
            <w:vAlign w:val="center"/>
            <w:tcMar>
              <w:top w:w="90" w:type="dxa"/>
              <w:bottom w:w="90" w:type="dxa"/>
              <w:left w:w="90" w:type="dxa"/>
              <w:right w:w="90" w:type="dxa"/>
            </w:tcMar>
            <w:shd w:fill="F4F6F7"/>
          </w:tcPr>
          <w:p>
            <w:pPr>
              <w:spacing w:after="0" w:line="250" w:lineRule="auto"/>
              <w:jc w:val="center"/>
            </w:pPr>
            <w:r>
              <w:rPr>
                <w:rFonts w:ascii="Arial" w:hAnsi="Arial"/>
                <w:b w:val="0"/>
                <w:color w:val="000000"/>
                <w:sz w:val="19"/>
              </w:rPr>
              <w:t>R23</w:t>
            </w:r>
          </w:p>
        </w:tc>
        <w:tc>
          <w:tcPr>
            <w:tcW w:type="dxa" w:w="2520"/>
            <w:vAlign w:val="center"/>
            <w:tcMar>
              <w:top w:w="90" w:type="dxa"/>
              <w:bottom w:w="90" w:type="dxa"/>
              <w:left w:w="90" w:type="dxa"/>
              <w:right w:w="90" w:type="dxa"/>
            </w:tcMar>
            <w:shd w:fill="F4F6F7"/>
          </w:tcPr>
          <w:p>
            <w:pPr>
              <w:spacing w:after="0" w:line="250" w:lineRule="auto"/>
            </w:pPr>
            <w:r>
              <w:rPr>
                <w:rFonts w:ascii="Arial" w:hAnsi="Arial"/>
                <w:b w:val="0"/>
                <w:color w:val="000000"/>
                <w:sz w:val="19"/>
              </w:rPr>
              <w:t>Prove the release and owner publish control</w:t>
            </w:r>
          </w:p>
        </w:tc>
        <w:tc>
          <w:tcPr>
            <w:tcW w:type="dxa" w:w="6581"/>
            <w:vAlign w:val="center"/>
            <w:tcMar>
              <w:top w:w="90" w:type="dxa"/>
              <w:bottom w:w="90" w:type="dxa"/>
              <w:left w:w="90" w:type="dxa"/>
              <w:right w:w="90" w:type="dxa"/>
            </w:tcMar>
            <w:shd w:fill="F4F6F7"/>
          </w:tcPr>
          <w:p>
            <w:pPr>
              <w:spacing w:after="0" w:line="250" w:lineRule="auto"/>
            </w:pPr>
            <w:r>
              <w:rPr>
                <w:rFonts w:ascii="Arial" w:hAnsi="Arial"/>
                <w:b w:val="0"/>
                <w:color w:val="000000"/>
                <w:sz w:val="19"/>
              </w:rPr>
              <w:t>Tie deployed versions, recovery, accepted card, approved documents, earlier authority evidence and freeze notes to one tested owner-only publish action that stays off.</w:t>
            </w:r>
          </w:p>
        </w:tc>
      </w:tr>
      <w:tr>
        <w:trPr>
          <w:cantSplit/>
        </w:trPr>
        <w:tc>
          <w:tcPr>
            <w:tcW w:type="dxa" w:w="691"/>
            <w:vAlign w:val="center"/>
            <w:tcMar>
              <w:top w:w="90" w:type="dxa"/>
              <w:bottom w:w="90" w:type="dxa"/>
              <w:left w:w="90" w:type="dxa"/>
              <w:right w:w="90" w:type="dxa"/>
            </w:tcMar>
            <w:shd w:fill="FFFFFF"/>
          </w:tcPr>
          <w:p>
            <w:pPr>
              <w:spacing w:after="0" w:line="250" w:lineRule="auto"/>
              <w:jc w:val="center"/>
            </w:pPr>
            <w:r>
              <w:rPr>
                <w:rFonts w:ascii="Arial" w:hAnsi="Arial"/>
                <w:b w:val="0"/>
                <w:color w:val="000000"/>
                <w:sz w:val="19"/>
              </w:rPr>
              <w:t>R24</w:t>
            </w:r>
          </w:p>
        </w:tc>
        <w:tc>
          <w:tcPr>
            <w:tcW w:type="dxa" w:w="2520"/>
            <w:vAlign w:val="center"/>
            <w:tcMar>
              <w:top w:w="90" w:type="dxa"/>
              <w:bottom w:w="90" w:type="dxa"/>
              <w:left w:w="90" w:type="dxa"/>
              <w:right w:w="90" w:type="dxa"/>
            </w:tcMar>
            <w:shd w:fill="FFFFFF"/>
          </w:tcPr>
          <w:p>
            <w:pPr>
              <w:spacing w:after="0" w:line="250" w:lineRule="auto"/>
            </w:pPr>
            <w:r>
              <w:rPr>
                <w:rFonts w:ascii="Arial" w:hAnsi="Arial"/>
                <w:b w:val="0"/>
                <w:color w:val="000000"/>
                <w:sz w:val="19"/>
              </w:rPr>
              <w:t>Issue the publish sheet and stop</w:t>
            </w:r>
          </w:p>
        </w:tc>
        <w:tc>
          <w:tcPr>
            <w:tcW w:type="dxa" w:w="6581"/>
            <w:vAlign w:val="center"/>
            <w:tcMar>
              <w:top w:w="90" w:type="dxa"/>
              <w:bottom w:w="90" w:type="dxa"/>
              <w:left w:w="90" w:type="dxa"/>
              <w:right w:w="90" w:type="dxa"/>
            </w:tcMar>
            <w:shd w:fill="FFFFFF"/>
          </w:tcPr>
          <w:p>
            <w:pPr>
              <w:spacing w:after="0" w:line="250" w:lineRule="auto"/>
            </w:pPr>
            <w:r>
              <w:rPr>
                <w:rFonts w:ascii="Arial" w:hAnsi="Arial"/>
                <w:b w:val="0"/>
                <w:color w:val="000000"/>
                <w:sz w:val="19"/>
              </w:rPr>
              <w:t>Issue FREEZE-PUBLISH-00 only after all mandatory proof, including the accepted Stripe readiness gate. State that live capture/refund is unproved. Name the owner action and stop.</w:t>
            </w:r>
          </w:p>
        </w:tc>
      </w:tr>
    </w:tbl>
    <w:p>
      <w:pPr>
        <w:spacing w:after="120" w:before="0" w:line="20" w:lineRule="exact"/>
      </w:pPr>
      <w:r>
        <w:rPr>
          <w:sz w:val="2"/>
        </w:rPr>
      </w:r>
    </w:p>
    <w:p>
      <w:pPr>
        <w:pStyle w:val="Heading2"/>
      </w:pPr>
      <w:r>
        <w:rPr>
          <w:color w:val="000000"/>
        </w:rPr>
        <w:t>One issue at a time</w:t>
      </w:r>
    </w:p>
    <w:p>
      <w:r>
        <w:rPr>
          <w:b w:val="0"/>
        </w:rPr>
        <w:t>Before each change, engineering verifies the affected files, actual store settings, backup and way back. These checks start at R01; R21 proves full restore. Before the first real placement/referral offer, fee or binding signature, establish the applicable authority, accepted terms and approved document. R23 collects this evidence; it cannot authorize an earlier action afterwards. Synthetic fixtures are labelled nonbinding and cannot prove production approval.</w:t>
      </w:r>
    </w:p>
    <w:p>
      <w:r>
        <w:rPr>
          <w:b w:val="0"/>
        </w:rPr>
        <w:t>After a passed row, FREEZE-ISSUE-NNN records its ID, plain-English change, exact proof and time, source/file version, deployed version and recovery reference. It separately verifies that public live charging is still off and imported tenancies were not used or emailed.</w:t>
      </w:r>
    </w:p>
    <w:p>
      <w:r>
        <w:rPr>
          <w:b w:val="0"/>
        </w:rPr>
        <w:t>A failed proof leaves that row open and stops the queue. Preserve the frozen order. New ideas are parked. Any scope clarification is explicit and versioned; it does not move a row ahead or bypass a failed proof.</w:t>
      </w:r>
    </w:p>
    <w:p>
      <w:pPr>
        <w:pStyle w:val="Heading2"/>
      </w:pPr>
      <w:r>
        <w:rPr>
          <w:color w:val="000000"/>
        </w:rPr>
        <w:t>What stays parked</w:t>
      </w:r>
    </w:p>
    <w:p>
      <w:r>
        <w:rPr>
          <w:b w:val="0"/>
        </w:rPr>
        <w:t>The full feature catalogue, extra languages/countries, OCR, automated ID approval, AI floorplans, alerts, uncatalogued sourcing, broad Partner/Vendor systems, automatic real payouts and new China mini-program remain outside this release. There is no Laijuzhu, PrimeStay or IGEMA theme work and no imported-tenancy migration.</w:t>
      </w:r>
    </w:p>
    <w:p>
      <w:r>
        <w:br w:type="page"/>
      </w:r>
    </w:p>
    <w:p>
      <w:pPr>
        <w:pStyle w:val="Heading1"/>
      </w:pPr>
      <w:r>
        <w:rPr>
          <w:color w:val="000000"/>
        </w:rPr>
        <w:t>Five separate accounts and five separate proofs</w:t>
      </w:r>
    </w:p>
    <w:p>
      <w:r>
        <w:rPr>
          <w:b w:val="0"/>
        </w:rPr>
        <w:t>The account names are labels until linked to verified identities. Ern’s real account must be proved; a convenient demo owner cannot replace it. Test accounts live in a visibly marked test workspace and cannot inherit production staff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960"/>
        <w:gridCol w:w="4392"/>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20"/>
              </w:rPr>
              <w:t>Account</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20"/>
              </w:rPr>
              <w:t>Must be able to do</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20"/>
              </w:rPr>
              <w:t>Must be refused</w:t>
            </w:r>
          </w:p>
        </w:tc>
      </w:tr>
      <w:tr>
        <w:trPr>
          <w:cantSplit/>
        </w:trPr>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20"/>
              </w:rPr>
              <w:t>ern.owner</w:t>
            </w:r>
          </w:p>
        </w:tc>
        <w:tc>
          <w:tcPr>
            <w:tcW w:type="dxa" w:w="3960"/>
            <w:vAlign w:val="center"/>
            <w:tcMar>
              <w:top w:w="90" w:type="dxa"/>
              <w:bottom w:w="90" w:type="dxa"/>
              <w:left w:w="90" w:type="dxa"/>
              <w:right w:w="90" w:type="dxa"/>
            </w:tcMar>
            <w:shd w:fill="F4F6F7"/>
          </w:tcPr>
          <w:p>
            <w:pPr>
              <w:spacing w:after="0" w:line="250" w:lineRule="auto"/>
            </w:pPr>
            <w:r>
              <w:rPr>
                <w:rFonts w:ascii="Arial" w:hAnsi="Arial"/>
                <w:b w:val="0"/>
                <w:color w:val="000000"/>
                <w:sz w:val="20"/>
              </w:rPr>
              <w:t>Existing owner: staff desk, approved own case and publish sheet.</w:t>
            </w:r>
          </w:p>
        </w:tc>
        <w:tc>
          <w:tcPr>
            <w:tcW w:type="dxa" w:w="4392"/>
            <w:vAlign w:val="center"/>
            <w:tcMar>
              <w:top w:w="90" w:type="dxa"/>
              <w:bottom w:w="90" w:type="dxa"/>
              <w:left w:w="90" w:type="dxa"/>
              <w:right w:w="90" w:type="dxa"/>
            </w:tcMar>
            <w:shd w:fill="F4F6F7"/>
          </w:tcPr>
          <w:p>
            <w:pPr>
              <w:spacing w:after="0" w:line="250" w:lineRule="auto"/>
            </w:pPr>
            <w:r>
              <w:rPr>
                <w:rFonts w:ascii="Arial" w:hAnsi="Arial"/>
                <w:b w:val="0"/>
                <w:color w:val="000000"/>
                <w:sz w:val="20"/>
              </w:rPr>
              <w:t>Another family’s private documents. No universal bypass or assignment exception applies in this release.</w:t>
            </w:r>
          </w:p>
        </w:tc>
      </w:tr>
      <w:tr>
        <w:trPr>
          <w:cantSplit/>
        </w:trPr>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20"/>
              </w:rPr>
              <w:t>test.staff</w:t>
            </w:r>
          </w:p>
        </w:tc>
        <w:tc>
          <w:tcPr>
            <w:tcW w:type="dxa" w:w="3960"/>
            <w:vAlign w:val="center"/>
            <w:tcMar>
              <w:top w:w="90" w:type="dxa"/>
              <w:bottom w:w="90" w:type="dxa"/>
              <w:left w:w="90" w:type="dxa"/>
              <w:right w:w="90" w:type="dxa"/>
            </w:tcMar>
            <w:shd w:fill="FFFFFF"/>
          </w:tcPr>
          <w:p>
            <w:pPr>
              <w:spacing w:after="0" w:line="250" w:lineRule="auto"/>
            </w:pPr>
            <w:r>
              <w:rPr>
                <w:rFonts w:ascii="Arial" w:hAnsi="Arial"/>
                <w:b w:val="0"/>
                <w:color w:val="000000"/>
                <w:sz w:val="20"/>
              </w:rPr>
              <w:t>Same desk, synthetic test cases only.</w:t>
            </w:r>
          </w:p>
        </w:tc>
        <w:tc>
          <w:tcPr>
            <w:tcW w:type="dxa" w:w="4392"/>
            <w:vAlign w:val="center"/>
            <w:tcMar>
              <w:top w:w="90" w:type="dxa"/>
              <w:bottom w:w="90" w:type="dxa"/>
              <w:left w:w="90" w:type="dxa"/>
              <w:right w:w="90" w:type="dxa"/>
            </w:tcMar>
            <w:shd w:fill="FFFFFF"/>
          </w:tcPr>
          <w:p>
            <w:pPr>
              <w:spacing w:after="0" w:line="250" w:lineRule="auto"/>
            </w:pPr>
            <w:r>
              <w:rPr>
                <w:rFonts w:ascii="Arial" w:hAnsi="Arial"/>
                <w:b w:val="0"/>
                <w:color w:val="000000"/>
                <w:sz w:val="20"/>
              </w:rPr>
              <w:t>Production-family scope and other workspaces, including direct document/API links.</w:t>
            </w:r>
          </w:p>
        </w:tc>
      </w:tr>
      <w:tr>
        <w:trPr>
          <w:cantSplit/>
        </w:trPr>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20"/>
              </w:rPr>
              <w:t>test.agent</w:t>
            </w:r>
          </w:p>
        </w:tc>
        <w:tc>
          <w:tcPr>
            <w:tcW w:type="dxa" w:w="3960"/>
            <w:vAlign w:val="center"/>
            <w:tcMar>
              <w:top w:w="90" w:type="dxa"/>
              <w:bottom w:w="90" w:type="dxa"/>
              <w:left w:w="90" w:type="dxa"/>
              <w:right w:w="90" w:type="dxa"/>
            </w:tcMar>
            <w:shd w:fill="F4F6F7"/>
          </w:tcPr>
          <w:p>
            <w:pPr>
              <w:spacing w:after="0" w:line="250" w:lineRule="auto"/>
            </w:pPr>
            <w:r>
              <w:rPr>
                <w:rFonts w:ascii="Arial" w:hAnsi="Arial"/>
                <w:b w:val="0"/>
                <w:color w:val="000000"/>
                <w:sz w:val="20"/>
              </w:rPr>
              <w:t>Own leads, approved share link, limited own-case progress and commission status.</w:t>
            </w:r>
          </w:p>
        </w:tc>
        <w:tc>
          <w:tcPr>
            <w:tcW w:type="dxa" w:w="4392"/>
            <w:vAlign w:val="center"/>
            <w:tcMar>
              <w:top w:w="90" w:type="dxa"/>
              <w:bottom w:w="90" w:type="dxa"/>
              <w:left w:w="90" w:type="dxa"/>
              <w:right w:w="90" w:type="dxa"/>
            </w:tcMar>
            <w:shd w:fill="F4F6F7"/>
          </w:tcPr>
          <w:p>
            <w:pPr>
              <w:spacing w:after="0" w:line="250" w:lineRule="auto"/>
            </w:pPr>
            <w:r>
              <w:rPr>
                <w:rFonts w:ascii="Arial" w:hAnsi="Arial"/>
                <w:b w:val="0"/>
                <w:color w:val="000000"/>
                <w:sz w:val="20"/>
              </w:rPr>
              <w:t>Other agents, staff controls and family private documents.</w:t>
            </w:r>
          </w:p>
        </w:tc>
      </w:tr>
      <w:tr>
        <w:trPr>
          <w:cantSplit/>
        </w:trPr>
        <w:tc>
          <w:tcPr>
            <w:tcW w:type="dxa" w:w="1440"/>
            <w:vAlign w:val="center"/>
            <w:tcMar>
              <w:top w:w="90" w:type="dxa"/>
              <w:bottom w:w="90" w:type="dxa"/>
              <w:left w:w="90" w:type="dxa"/>
              <w:right w:w="90" w:type="dxa"/>
            </w:tcMar>
            <w:shd w:fill="FFFFFF"/>
          </w:tcPr>
          <w:p>
            <w:pPr>
              <w:spacing w:after="0" w:line="250" w:lineRule="auto"/>
            </w:pPr>
            <w:r>
              <w:rPr>
                <w:rFonts w:ascii="Arial" w:hAnsi="Arial"/>
                <w:b w:val="0"/>
                <w:color w:val="000000"/>
                <w:sz w:val="20"/>
              </w:rPr>
              <w:t>test.parent</w:t>
            </w:r>
          </w:p>
        </w:tc>
        <w:tc>
          <w:tcPr>
            <w:tcW w:type="dxa" w:w="3960"/>
            <w:vAlign w:val="center"/>
            <w:tcMar>
              <w:top w:w="90" w:type="dxa"/>
              <w:bottom w:w="90" w:type="dxa"/>
              <w:left w:w="90" w:type="dxa"/>
              <w:right w:w="90" w:type="dxa"/>
            </w:tcMar>
            <w:shd w:fill="FFFFFF"/>
          </w:tcPr>
          <w:p>
            <w:pPr>
              <w:spacing w:after="0" w:line="250" w:lineRule="auto"/>
            </w:pPr>
            <w:r>
              <w:rPr>
                <w:rFonts w:ascii="Arial" w:hAnsi="Arial"/>
                <w:b w:val="0"/>
                <w:color w:val="000000"/>
                <w:sz w:val="20"/>
              </w:rPr>
              <w:t>Own test case, signing and payment status.</w:t>
            </w:r>
          </w:p>
        </w:tc>
        <w:tc>
          <w:tcPr>
            <w:tcW w:type="dxa" w:w="4392"/>
            <w:vAlign w:val="center"/>
            <w:tcMar>
              <w:top w:w="90" w:type="dxa"/>
              <w:bottom w:w="90" w:type="dxa"/>
              <w:left w:w="90" w:type="dxa"/>
              <w:right w:w="90" w:type="dxa"/>
            </w:tcMar>
            <w:shd w:fill="FFFFFF"/>
          </w:tcPr>
          <w:p>
            <w:pPr>
              <w:spacing w:after="0" w:line="250" w:lineRule="auto"/>
            </w:pPr>
            <w:r>
              <w:rPr>
                <w:rFonts w:ascii="Arial" w:hAnsi="Arial"/>
                <w:b w:val="0"/>
                <w:color w:val="000000"/>
                <w:sz w:val="20"/>
              </w:rPr>
              <w:t>Staff desk and every other case or protected document.</w:t>
            </w:r>
          </w:p>
        </w:tc>
      </w:tr>
      <w:tr>
        <w:trPr>
          <w:cantSplit/>
        </w:trPr>
        <w:tc>
          <w:tcPr>
            <w:tcW w:type="dxa" w:w="1440"/>
            <w:vAlign w:val="center"/>
            <w:tcMar>
              <w:top w:w="90" w:type="dxa"/>
              <w:bottom w:w="90" w:type="dxa"/>
              <w:left w:w="90" w:type="dxa"/>
              <w:right w:w="90" w:type="dxa"/>
            </w:tcMar>
            <w:shd w:fill="F4F6F7"/>
          </w:tcPr>
          <w:p>
            <w:pPr>
              <w:spacing w:after="0" w:line="250" w:lineRule="auto"/>
            </w:pPr>
            <w:r>
              <w:rPr>
                <w:rFonts w:ascii="Arial" w:hAnsi="Arial"/>
                <w:b w:val="0"/>
                <w:color w:val="000000"/>
                <w:sz w:val="20"/>
              </w:rPr>
              <w:t>test.host</w:t>
            </w:r>
          </w:p>
        </w:tc>
        <w:tc>
          <w:tcPr>
            <w:tcW w:type="dxa" w:w="3960"/>
            <w:vAlign w:val="center"/>
            <w:tcMar>
              <w:top w:w="90" w:type="dxa"/>
              <w:bottom w:w="90" w:type="dxa"/>
              <w:left w:w="90" w:type="dxa"/>
              <w:right w:w="90" w:type="dxa"/>
            </w:tcMar>
            <w:shd w:fill="F4F6F7"/>
          </w:tcPr>
          <w:p>
            <w:pPr>
              <w:spacing w:after="0" w:line="250" w:lineRule="auto"/>
            </w:pPr>
            <w:r>
              <w:rPr>
                <w:rFonts w:ascii="Arial" w:hAnsi="Arial"/>
                <w:b w:val="0"/>
                <w:color w:val="000000"/>
                <w:sz w:val="20"/>
              </w:rPr>
              <w:t>Own test listing and the release’s limited related status.</w:t>
            </w:r>
          </w:p>
        </w:tc>
        <w:tc>
          <w:tcPr>
            <w:tcW w:type="dxa" w:w="4392"/>
            <w:vAlign w:val="center"/>
            <w:tcMar>
              <w:top w:w="90" w:type="dxa"/>
              <w:bottom w:w="90" w:type="dxa"/>
              <w:left w:w="90" w:type="dxa"/>
              <w:right w:w="90" w:type="dxa"/>
            </w:tcMar>
            <w:shd w:fill="F4F6F7"/>
          </w:tcPr>
          <w:p>
            <w:pPr>
              <w:spacing w:after="0" w:line="250" w:lineRule="auto"/>
            </w:pPr>
            <w:r>
              <w:rPr>
                <w:rFonts w:ascii="Arial" w:hAnsi="Arial"/>
                <w:b w:val="0"/>
                <w:color w:val="000000"/>
                <w:sz w:val="20"/>
              </w:rPr>
              <w:t>Other hosts and payout approval.</w:t>
            </w:r>
          </w:p>
        </w:tc>
      </w:tr>
    </w:tbl>
    <w:p>
      <w:pPr>
        <w:spacing w:after="120" w:before="0" w:line="20" w:lineRule="exact"/>
      </w:pPr>
      <w:r>
        <w:rPr>
          <w:sz w:val="2"/>
        </w:rPr>
      </w:r>
    </w:p>
    <w:p>
      <w:pPr>
        <w:pStyle w:val="Heading2"/>
      </w:pPr>
      <w:r>
        <w:rPr>
          <w:color w:val="000000"/>
        </w:rPr>
        <w:t>What counts as account proof</w:t>
      </w:r>
    </w:p>
    <w:p>
      <w:r>
        <w:rPr>
          <w:b w:val="0"/>
        </w:rPr>
        <w:t>For each account: sign in, complete the permitted task, request a forbidden synthetic target, confirm refusal with no data, sign out, then retry the former session and confirm it no longer works. Retain browser and server evidence with the build, time, identity, workspace and case identifiers.</w:t>
      </w:r>
    </w:p>
    <w:p>
      <w:r>
        <w:rPr>
          <w:b w:val="0"/>
        </w:rPr>
        <w:t>Expired or altered links, another workspace’s ID and direct API requests must meet the same rules as the screens. A login page that loads, or a role chosen from a menu, is not proof of permission.</w:t>
      </w:r>
    </w:p>
    <w:p>
      <w:pPr>
        <w:pStyle w:val="Heading2"/>
      </w:pPr>
      <w:r>
        <w:rPr>
          <w:color w:val="000000"/>
        </w:rPr>
        <w:t>Prove the production boundary without opening a family file</w:t>
      </w:r>
    </w:p>
    <w:p>
      <w:r>
        <w:rPr>
          <w:b w:val="0"/>
        </w:rPr>
        <w:t>Use both an enforced production/test partition and an authorized, non-sensitive protected sentinel inside production scope. A sentinel is a harmless test record that must still be denied. A test-to-test refusal alone cannot prove that test.staff is excluded from real production records.</w:t>
      </w:r>
    </w:p>
    <w:p>
      <w:r>
        <w:rPr>
          <w:b w:val="0"/>
        </w:rPr>
        <w:t>Do not create accounts for imported tenancies or send them messages. No real family document needs to be downloaded for this denial proof. Fixture records must be excluded from customer and payout reporting.</w:t>
      </w:r>
    </w:p>
    <w:p>
      <w:pPr>
        <w:pStyle w:val="Heading2"/>
      </w:pPr>
      <w:r>
        <w:rPr>
          <w:color w:val="000000"/>
        </w:rPr>
        <w:t>The same permissions everywhere</w:t>
      </w:r>
    </w:p>
    <w:p>
      <w:r>
        <w:rPr>
          <w:b w:val="0"/>
        </w:rPr>
        <w:t>The role, workspace, commercial plan/quota, visible records, locks and destination must agree across any retained launcher and the logged-in LiveUIN view. The proposed agent tier is affiliate/referrer: it permits limited referral work, not housing, school or visa advice or access to sensitive documents.</w:t>
      </w:r>
    </w:p>
    <w:p>
      <w:pPr>
        <w:spacing w:after="100"/>
      </w:pPr>
      <w:hyperlink r:id="rId18">
        <w:r>
          <w:rPr>
            <w:color w:val="174D70"/>
            <w:u w:val="single"/>
          </w:rPr>
          <w:t>Canonical persona and entitlement audit</w:t>
        </w:r>
      </w:hyperlink>
    </w:p>
    <w:p>
      <w:r>
        <w:br w:type="page"/>
      </w:r>
    </w:p>
    <w:p>
      <w:pPr>
        <w:pStyle w:val="Heading1"/>
      </w:pPr>
      <w:r>
        <w:rPr>
          <w:color w:val="000000"/>
        </w:rPr>
        <w:t>Payments must be permitted and tied to the case</w:t>
      </w:r>
    </w:p>
    <w:p>
      <w:r>
        <w:rPr>
          <w:b w:val="0"/>
        </w:rPr>
        <w:t>First identify the existing payment route, merchant company, exact fee purpose, authorized case and ledger connection. The health page’s “live off” flag is not proof that every public checkout is locked. The server must refuse a stranger’s live charge, including direct calls and altered case or role inputs.</w:t>
      </w:r>
    </w:p>
    <w:p>
      <w:pPr>
        <w:pStyle w:val="Heading2"/>
      </w:pPr>
      <w:r>
        <w:rPr>
          <w:color w:val="000000"/>
        </w:rPr>
        <w:t>Test mode first</w:t>
      </w:r>
    </w:p>
    <w:p>
      <w:pPr>
        <w:pStyle w:val="ListBullet"/>
      </w:pPr>
      <w:r>
        <w:rPr>
          <w:b w:val="0"/>
        </w:rPr>
        <w:t>Successful payment, decline and insufficient funds.</w:t>
      </w:r>
    </w:p>
    <w:p>
      <w:pPr>
        <w:pStyle w:val="ListBullet"/>
      </w:pPr>
      <w:r>
        <w:rPr>
          <w:b w:val="0"/>
        </w:rPr>
        <w:t>Required card authentication that succeeds, fails or is cancelled; abandoned checkout and retry.</w:t>
      </w:r>
    </w:p>
    <w:p>
      <w:pPr>
        <w:pStyle w:val="ListBullet"/>
      </w:pPr>
      <w:r>
        <w:rPr>
          <w:b w:val="0"/>
        </w:rPr>
        <w:t>Repeated clicks and duplicate, delayed or out-of-order provider notifications; invalid notification signatures.</w:t>
      </w:r>
    </w:p>
    <w:p>
      <w:pPr>
        <w:pStyle w:val="ListBullet"/>
      </w:pPr>
      <w:r>
        <w:rPr>
          <w:b w:val="0"/>
        </w:rPr>
        <w:t>Wrong case, amount, currency or mode; another user’s case and payment attempts.</w:t>
      </w:r>
    </w:p>
    <w:p>
      <w:pPr>
        <w:pStyle w:val="ListBullet"/>
      </w:pPr>
      <w:r>
        <w:rPr>
          <w:b w:val="0"/>
        </w:rPr>
        <w:t>Refund success, pending state, failure and retry; all amounts reconciled.</w:t>
      </w:r>
    </w:p>
    <w:p>
      <w:r>
        <w:rPr>
          <w:b w:val="0"/>
        </w:rPr>
        <w:t>Each scenario leaves the right case/ledger state, with payer, payee, purpose, currency, custody, clearly marked test invoice/receipt, reconciliation and refund reason, approver, amount and payee. Provider identifiers and gross/fee/net amounts agree. A browser return cannot mark the case paid.</w:t>
      </w:r>
    </w:p>
    <w:p>
      <w:r>
        <w:rPr>
          <w:b w:val="0"/>
        </w:rPr>
        <w:t>The inspected LiveUIN sandbox adapter is card-only and test-key-only; preserve that guard. Actual merchant-enabled methods remain unverified. The matrix covers each offered method, representative SG, CN, MY, IN, GB and US issuer-country test scenarios where supported, and every advertised payer market. Check currency, limits, authentication, pending states and refunds. One $1 success proves neither every bank/country nor higher spending ceilings.</w:t>
      </w:r>
    </w:p>
    <w:p>
      <w:pPr>
        <w:pStyle w:val="Heading2"/>
      </w:pPr>
      <w:r>
        <w:rPr>
          <w:color w:val="000000"/>
        </w:rPr>
        <w:t>The accepted Stripe readiness gate</w:t>
      </w:r>
    </w:p>
    <w:p>
      <w:r>
        <w:rPr>
          <w:b w:val="0"/>
        </w:rPr>
        <w:t>Ern expressly selected “Use the Stripe readiness gate (Recommended)”. This replaces the mandatory pre-launch actual capture/refund test. After R11 passes, verify the correct production merchant/account readiness, key permissions, API version, eligible methods and currencies, refund settings and registered HTTPS webhook with its event subscriptions and separate signing-secret reference. Do not make a test charge or expose secret values.</w:t>
      </w:r>
    </w:p>
    <w:p>
      <w:r>
        <w:rPr>
          <w:b/>
        </w:rPr>
        <w:t>Prove test/live separation, canonical case/bill/ledger binding and server-side public-charge denial. Public live charging remains off until Ern’s tested publish action.</w:t>
      </w:r>
    </w:p>
    <w:p>
      <w:r>
        <w:rPr>
          <w:b w:val="0"/>
        </w:rPr>
        <w:t>No actual live capture, authenticated live payment-event delivery or completed real refund is claimed. Registration is not delivery proof, and a simulated event remains labelled simulated. The superseded money test is not carried forward as a blocker or relabelled as passed. The unrelated IGEMA payment stays excluded.</w:t>
      </w:r>
    </w:p>
    <w:p>
      <w:pPr>
        <w:pStyle w:val="Heading2"/>
      </w:pPr>
      <w:r>
        <w:rPr>
          <w:color w:val="000000"/>
        </w:rPr>
        <w:t>Refund completion and custody</w:t>
      </w:r>
    </w:p>
    <w:p>
      <w:r>
        <w:rPr>
          <w:b w:val="0"/>
        </w:rPr>
        <w:t>A pending refund is not a completed refund. Retain the processor result, case entry and ledger reversal. Stripe says card credits commonly appear in 5–10 business days and early refunds may appear as reversals. Separate processor completion from later cardholder statement proof; do not promise same-day bank completion.</w:t>
      </w:r>
    </w:p>
    <w:p>
      <w:r>
        <w:rPr>
          <w:b w:val="0"/>
        </w:rPr>
        <w:t>Only the platform’s own service fee belongs in its processor account by default. Rent and deposits go directly to the landlord or approved licensed client/housing account. School fees go to the school without separate written collection authority. Partner payouts need eligible written terms and the completed milestone; no automatic real payout is added.</w:t>
      </w:r>
    </w:p>
    <w:p>
      <w:pPr>
        <w:spacing w:after="20" w:line="240" w:lineRule="auto"/>
      </w:pPr>
      <w:hyperlink r:id="rId19">
        <w:r>
          <w:rPr>
            <w:color w:val="174D70"/>
            <w:u w:val="single"/>
            <w:sz w:val="18"/>
          </w:rPr>
          <w:t>Stripe testing rules</w:t>
        </w:r>
      </w:hyperlink>
    </w:p>
    <w:p>
      <w:pPr>
        <w:spacing w:after="20" w:line="240" w:lineRule="auto"/>
      </w:pPr>
      <w:hyperlink r:id="rId20">
        <w:r>
          <w:rPr>
            <w:color w:val="174D70"/>
            <w:u w:val="single"/>
            <w:sz w:val="18"/>
          </w:rPr>
          <w:t>Stripe prohibited uses</w:t>
        </w:r>
      </w:hyperlink>
    </w:p>
    <w:p>
      <w:pPr>
        <w:spacing w:after="20" w:line="240" w:lineRule="auto"/>
      </w:pPr>
      <w:hyperlink r:id="rId21">
        <w:r>
          <w:rPr>
            <w:color w:val="174D70"/>
            <w:u w:val="single"/>
            <w:sz w:val="18"/>
          </w:rPr>
          <w:t>Stripe webhook delivery guidance</w:t>
        </w:r>
      </w:hyperlink>
    </w:p>
    <w:p>
      <w:pPr>
        <w:spacing w:after="20" w:line="240" w:lineRule="auto"/>
      </w:pPr>
      <w:hyperlink r:id="rId22">
        <w:r>
          <w:rPr>
            <w:color w:val="174D70"/>
            <w:u w:val="single"/>
            <w:sz w:val="18"/>
          </w:rPr>
          <w:t>Stripe refund guidance</w:t>
        </w:r>
      </w:hyperlink>
    </w:p>
    <w:p>
      <w:pPr>
        <w:spacing w:after="20" w:line="240" w:lineRule="auto"/>
      </w:pPr>
      <w:hyperlink r:id="rId23">
        <w:r>
          <w:rPr>
            <w:color w:val="174D70"/>
            <w:u w:val="single"/>
            <w:sz w:val="18"/>
          </w:rPr>
          <w:t>Owner-accepted amendment and exact production readiness proof</w:t>
        </w:r>
      </w:hyperlink>
    </w:p>
    <w:p>
      <w:pPr>
        <w:spacing w:after="20" w:line="240" w:lineRule="auto"/>
      </w:pPr>
      <w:hyperlink r:id="rId24">
        <w:r>
          <w:rPr>
            <w:color w:val="174D70"/>
            <w:u w:val="single"/>
            <w:sz w:val="18"/>
          </w:rPr>
          <w:t>Launch payment methods, country checks and coverage limits</w:t>
        </w:r>
      </w:hyperlink>
    </w:p>
    <w:p>
      <w:r>
        <w:br w:type="page"/>
      </w:r>
    </w:p>
    <w:p>
      <w:pPr>
        <w:pStyle w:val="Heading1"/>
      </w:pPr>
      <w:r>
        <w:rPr>
          <w:color w:val="000000"/>
        </w:rPr>
        <w:t>The single unsigned commercial card</w:t>
      </w:r>
    </w:p>
    <w:p>
      <w:r>
        <w:rPr>
          <w:b w:val="0"/>
        </w:rPr>
        <w:t>No signed pilot card was found in the inspected materials. Keep the following recommendation exactly as one internal card. Every figure is UNSIGNED. The public price page remains quote-only until Ern types ACCEPT for the agreed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30"/>
        <w:gridCol w:w="2621"/>
        <w:gridCol w:w="5242"/>
      </w:tblGrid>
      <w:tr>
        <w:trPr>
          <w:tblHeader/>
        </w:trPr>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Item</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Unsigned figure</w:t>
            </w:r>
          </w:p>
        </w:tc>
        <w:tc>
          <w:tcPr>
            <w:tcW w:type="dxa" w:w="3278"/>
            <w:vAlign w:val="center"/>
            <w:tcMar>
              <w:top w:w="90" w:type="dxa"/>
              <w:bottom w:w="90" w:type="dxa"/>
              <w:left w:w="90" w:type="dxa"/>
              <w:right w:w="90" w:type="dxa"/>
            </w:tcMar>
            <w:shd w:fill="333D46"/>
          </w:tcPr>
          <w:p>
            <w:pPr>
              <w:spacing w:after="0" w:line="250" w:lineRule="auto"/>
            </w:pPr>
            <w:r>
              <w:rPr>
                <w:rFonts w:ascii="Arial" w:hAnsi="Arial"/>
                <w:b/>
                <w:color w:val="FFFFFF"/>
                <w:sz w:val="19"/>
              </w:rPr>
              <w:t>Who pays and when it may be kept</w:t>
            </w:r>
          </w:p>
        </w:tc>
      </w:tr>
      <w:tr>
        <w:trPr>
          <w:cantSplit/>
        </w:trPr>
        <w:tc>
          <w:tcPr>
            <w:tcW w:type="dxa" w:w="1930"/>
            <w:vAlign w:val="center"/>
            <w:tcMar>
              <w:top w:w="90" w:type="dxa"/>
              <w:bottom w:w="90" w:type="dxa"/>
              <w:left w:w="90" w:type="dxa"/>
              <w:right w:w="90" w:type="dxa"/>
            </w:tcMar>
            <w:shd w:fill="F4F6F7"/>
          </w:tcPr>
          <w:p>
            <w:pPr>
              <w:spacing w:after="0" w:line="250" w:lineRule="auto"/>
            </w:pPr>
            <w:r>
              <w:rPr>
                <w:rFonts w:ascii="Arial" w:hAnsi="Arial"/>
                <w:b w:val="0"/>
                <w:color w:val="000000"/>
                <w:sz w:val="19"/>
              </w:rPr>
              <w:t>Arrival Setup</w:t>
            </w:r>
          </w:p>
        </w:tc>
        <w:tc>
          <w:tcPr>
            <w:tcW w:type="dxa" w:w="2621"/>
            <w:vAlign w:val="center"/>
            <w:tcMar>
              <w:top w:w="90" w:type="dxa"/>
              <w:bottom w:w="90" w:type="dxa"/>
              <w:left w:w="90" w:type="dxa"/>
              <w:right w:w="90" w:type="dxa"/>
            </w:tcMar>
            <w:shd w:fill="F4F6F7"/>
          </w:tcPr>
          <w:p>
            <w:pPr>
              <w:spacing w:after="0" w:line="250" w:lineRule="auto"/>
            </w:pPr>
            <w:r>
              <w:rPr>
                <w:rFonts w:ascii="Arial" w:hAnsi="Arial"/>
                <w:b w:val="0"/>
                <w:color w:val="000000"/>
                <w:sz w:val="19"/>
              </w:rPr>
              <w:t>UNSIGNED S$180 fixed</w:t>
            </w:r>
          </w:p>
        </w:tc>
        <w:tc>
          <w:tcPr>
            <w:tcW w:type="dxa" w:w="5242"/>
            <w:vAlign w:val="center"/>
            <w:tcMar>
              <w:top w:w="90" w:type="dxa"/>
              <w:bottom w:w="90" w:type="dxa"/>
              <w:left w:w="90" w:type="dxa"/>
              <w:right w:w="90" w:type="dxa"/>
            </w:tcMar>
            <w:shd w:fill="F4F6F7"/>
          </w:tcPr>
          <w:p>
            <w:pPr>
              <w:spacing w:after="0" w:line="250" w:lineRule="auto"/>
            </w:pPr>
            <w:r>
              <w:rPr>
                <w:rFonts w:ascii="Arial" w:hAnsi="Arial"/>
                <w:b w:val="0"/>
                <w:color w:val="000000"/>
                <w:sz w:val="19"/>
              </w:rPr>
              <w:t>Parent or partner. May be kept after written scope is accepted.</w:t>
            </w:r>
          </w:p>
        </w:tc>
      </w:tr>
      <w:tr>
        <w:trPr>
          <w:cantSplit/>
        </w:trPr>
        <w:tc>
          <w:tcPr>
            <w:tcW w:type="dxa" w:w="1930"/>
            <w:vAlign w:val="center"/>
            <w:tcMar>
              <w:top w:w="90" w:type="dxa"/>
              <w:bottom w:w="90" w:type="dxa"/>
              <w:left w:w="90" w:type="dxa"/>
              <w:right w:w="90" w:type="dxa"/>
            </w:tcMar>
            <w:shd w:fill="FFFFFF"/>
          </w:tcPr>
          <w:p>
            <w:pPr>
              <w:spacing w:after="0" w:line="250" w:lineRule="auto"/>
            </w:pPr>
            <w:r>
              <w:rPr>
                <w:rFonts w:ascii="Arial" w:hAnsi="Arial"/>
                <w:b w:val="0"/>
                <w:color w:val="000000"/>
                <w:sz w:val="19"/>
              </w:rPr>
              <w:t>Move-In Assurance</w:t>
            </w:r>
          </w:p>
        </w:tc>
        <w:tc>
          <w:tcPr>
            <w:tcW w:type="dxa" w:w="2621"/>
            <w:vAlign w:val="center"/>
            <w:tcMar>
              <w:top w:w="90" w:type="dxa"/>
              <w:bottom w:w="90" w:type="dxa"/>
              <w:left w:w="90" w:type="dxa"/>
              <w:right w:w="90" w:type="dxa"/>
            </w:tcMar>
            <w:shd w:fill="FFFFFF"/>
          </w:tcPr>
          <w:p>
            <w:pPr>
              <w:spacing w:after="0" w:line="250" w:lineRule="auto"/>
            </w:pPr>
            <w:r>
              <w:rPr>
                <w:rFonts w:ascii="Arial" w:hAnsi="Arial"/>
                <w:b w:val="0"/>
                <w:color w:val="000000"/>
                <w:sz w:val="19"/>
              </w:rPr>
              <w:t>UNSIGNED S$280 fixed</w:t>
            </w:r>
          </w:p>
        </w:tc>
        <w:tc>
          <w:tcPr>
            <w:tcW w:type="dxa" w:w="5242"/>
            <w:vAlign w:val="center"/>
            <w:tcMar>
              <w:top w:w="90" w:type="dxa"/>
              <w:bottom w:w="90" w:type="dxa"/>
              <w:left w:w="90" w:type="dxa"/>
              <w:right w:w="90" w:type="dxa"/>
            </w:tcMar>
            <w:shd w:fill="FFFFFF"/>
          </w:tcPr>
          <w:p>
            <w:pPr>
              <w:spacing w:after="0" w:line="250" w:lineRule="auto"/>
            </w:pPr>
            <w:r>
              <w:rPr>
                <w:rFonts w:ascii="Arial" w:hAnsi="Arial"/>
                <w:b w:val="0"/>
                <w:color w:val="000000"/>
                <w:sz w:val="19"/>
              </w:rPr>
              <w:t>Parent or partner. May be kept after written scope is accepted.</w:t>
            </w:r>
          </w:p>
        </w:tc>
      </w:tr>
      <w:tr>
        <w:trPr>
          <w:cantSplit/>
        </w:trPr>
        <w:tc>
          <w:tcPr>
            <w:tcW w:type="dxa" w:w="1930"/>
            <w:vAlign w:val="center"/>
            <w:tcMar>
              <w:top w:w="90" w:type="dxa"/>
              <w:bottom w:w="90" w:type="dxa"/>
              <w:left w:w="90" w:type="dxa"/>
              <w:right w:w="90" w:type="dxa"/>
            </w:tcMar>
            <w:shd w:fill="F4F6F7"/>
          </w:tcPr>
          <w:p>
            <w:pPr>
              <w:spacing w:after="0" w:line="250" w:lineRule="auto"/>
            </w:pPr>
            <w:r>
              <w:rPr>
                <w:rFonts w:ascii="Arial" w:hAnsi="Arial"/>
                <w:b w:val="0"/>
                <w:color w:val="000000"/>
                <w:sz w:val="19"/>
              </w:rPr>
              <w:t>7-Day Landing Support</w:t>
            </w:r>
          </w:p>
        </w:tc>
        <w:tc>
          <w:tcPr>
            <w:tcW w:type="dxa" w:w="2621"/>
            <w:vAlign w:val="center"/>
            <w:tcMar>
              <w:top w:w="90" w:type="dxa"/>
              <w:bottom w:w="90" w:type="dxa"/>
              <w:left w:w="90" w:type="dxa"/>
              <w:right w:w="90" w:type="dxa"/>
            </w:tcMar>
            <w:shd w:fill="F4F6F7"/>
          </w:tcPr>
          <w:p>
            <w:pPr>
              <w:spacing w:after="0" w:line="250" w:lineRule="auto"/>
            </w:pPr>
            <w:r>
              <w:rPr>
                <w:rFonts w:ascii="Arial" w:hAnsi="Arial"/>
                <w:b w:val="0"/>
                <w:color w:val="000000"/>
                <w:sz w:val="19"/>
              </w:rPr>
              <w:t>UNSIGNED S$680 fixed</w:t>
            </w:r>
          </w:p>
        </w:tc>
        <w:tc>
          <w:tcPr>
            <w:tcW w:type="dxa" w:w="5242"/>
            <w:vAlign w:val="center"/>
            <w:tcMar>
              <w:top w:w="90" w:type="dxa"/>
              <w:bottom w:w="90" w:type="dxa"/>
              <w:left w:w="90" w:type="dxa"/>
              <w:right w:w="90" w:type="dxa"/>
            </w:tcMar>
            <w:shd w:fill="F4F6F7"/>
          </w:tcPr>
          <w:p>
            <w:pPr>
              <w:spacing w:after="0" w:line="250" w:lineRule="auto"/>
            </w:pPr>
            <w:r>
              <w:rPr>
                <w:rFonts w:ascii="Arial" w:hAnsi="Arial"/>
                <w:b w:val="0"/>
                <w:color w:val="000000"/>
                <w:sz w:val="19"/>
              </w:rPr>
              <w:t>Parent or partner. Dates, hours and task list accepted. Not 24-hour cover.</w:t>
            </w:r>
          </w:p>
        </w:tc>
      </w:tr>
      <w:tr>
        <w:trPr>
          <w:cantSplit/>
        </w:trPr>
        <w:tc>
          <w:tcPr>
            <w:tcW w:type="dxa" w:w="1930"/>
            <w:vAlign w:val="center"/>
            <w:tcMar>
              <w:top w:w="90" w:type="dxa"/>
              <w:bottom w:w="90" w:type="dxa"/>
              <w:left w:w="90" w:type="dxa"/>
              <w:right w:w="90" w:type="dxa"/>
            </w:tcMar>
            <w:shd w:fill="FFFFFF"/>
          </w:tcPr>
          <w:p>
            <w:pPr>
              <w:spacing w:after="0" w:line="250" w:lineRule="auto"/>
            </w:pPr>
            <w:r>
              <w:rPr>
                <w:rFonts w:ascii="Arial" w:hAnsi="Arial"/>
                <w:b w:val="0"/>
                <w:color w:val="000000"/>
                <w:sz w:val="19"/>
              </w:rPr>
              <w:t>Room placement only if LiveUIN places it</w:t>
            </w:r>
          </w:p>
        </w:tc>
        <w:tc>
          <w:tcPr>
            <w:tcW w:type="dxa" w:w="2621"/>
            <w:vAlign w:val="center"/>
            <w:tcMar>
              <w:top w:w="90" w:type="dxa"/>
              <w:bottom w:w="90" w:type="dxa"/>
              <w:left w:w="90" w:type="dxa"/>
              <w:right w:w="90" w:type="dxa"/>
            </w:tcMar>
            <w:shd w:fill="FFFFFF"/>
          </w:tcPr>
          <w:p>
            <w:pPr>
              <w:spacing w:after="0" w:line="250" w:lineRule="auto"/>
            </w:pPr>
            <w:r>
              <w:rPr>
                <w:rFonts w:ascii="Arial" w:hAnsi="Arial"/>
                <w:b w:val="0"/>
                <w:color w:val="000000"/>
                <w:sz w:val="19"/>
              </w:rPr>
              <w:t>UNSIGNED 50% of one month’s rent once</w:t>
            </w:r>
          </w:p>
        </w:tc>
        <w:tc>
          <w:tcPr>
            <w:tcW w:type="dxa" w:w="5242"/>
            <w:vAlign w:val="center"/>
            <w:tcMar>
              <w:top w:w="90" w:type="dxa"/>
              <w:bottom w:w="90" w:type="dxa"/>
              <w:left w:w="90" w:type="dxa"/>
              <w:right w:w="90" w:type="dxa"/>
            </w:tcMar>
            <w:shd w:fill="FFFFFF"/>
          </w:tcPr>
          <w:p>
            <w:pPr>
              <w:spacing w:after="0" w:line="250" w:lineRule="auto"/>
            </w:pPr>
            <w:r>
              <w:rPr>
                <w:rFonts w:ascii="Arial" w:hAnsi="Arial"/>
                <w:b w:val="0"/>
                <w:color w:val="000000"/>
                <w:sz w:val="19"/>
              </w:rPr>
              <w:t>Landlord if the listing agreement says so; otherwise parent only after amount disclosure and acceptance. Earned after recorded move-in, never from the security deposit.</w:t>
            </w:r>
          </w:p>
        </w:tc>
      </w:tr>
      <w:tr>
        <w:trPr>
          <w:cantSplit/>
        </w:trPr>
        <w:tc>
          <w:tcPr>
            <w:tcW w:type="dxa" w:w="1930"/>
            <w:vAlign w:val="center"/>
            <w:tcMar>
              <w:top w:w="90" w:type="dxa"/>
              <w:bottom w:w="90" w:type="dxa"/>
              <w:left w:w="90" w:type="dxa"/>
              <w:right w:w="90" w:type="dxa"/>
            </w:tcMar>
            <w:shd w:fill="F4F6F7"/>
          </w:tcPr>
          <w:p>
            <w:pPr>
              <w:spacing w:after="0" w:line="250" w:lineRule="auto"/>
            </w:pPr>
            <w:r>
              <w:rPr>
                <w:rFonts w:ascii="Arial" w:hAnsi="Arial"/>
                <w:b w:val="0"/>
                <w:color w:val="000000"/>
                <w:sz w:val="19"/>
              </w:rPr>
              <w:t>Referring agent</w:t>
            </w:r>
          </w:p>
        </w:tc>
        <w:tc>
          <w:tcPr>
            <w:tcW w:type="dxa" w:w="2621"/>
            <w:vAlign w:val="center"/>
            <w:tcMar>
              <w:top w:w="90" w:type="dxa"/>
              <w:bottom w:w="90" w:type="dxa"/>
              <w:left w:w="90" w:type="dxa"/>
              <w:right w:w="90" w:type="dxa"/>
            </w:tcMar>
            <w:shd w:fill="F4F6F7"/>
          </w:tcPr>
          <w:p>
            <w:pPr>
              <w:spacing w:after="0" w:line="250" w:lineRule="auto"/>
            </w:pPr>
            <w:r>
              <w:rPr>
                <w:rFonts w:ascii="Arial" w:hAnsi="Arial"/>
                <w:b w:val="0"/>
                <w:color w:val="000000"/>
                <w:sz w:val="19"/>
              </w:rPr>
              <w:t>UNSIGNED 40% of platform fee actually collected on that case</w:t>
            </w:r>
          </w:p>
        </w:tc>
        <w:tc>
          <w:tcPr>
            <w:tcW w:type="dxa" w:w="5242"/>
            <w:vAlign w:val="center"/>
            <w:tcMar>
              <w:top w:w="90" w:type="dxa"/>
              <w:bottom w:w="90" w:type="dxa"/>
              <w:left w:w="90" w:type="dxa"/>
              <w:right w:w="90" w:type="dxa"/>
            </w:tcMar>
            <w:shd w:fill="F4F6F7"/>
          </w:tcPr>
          <w:p>
            <w:pPr>
              <w:spacing w:after="0" w:line="250" w:lineRule="auto"/>
            </w:pPr>
            <w:r>
              <w:rPr>
                <w:rFonts w:ascii="Arial" w:hAnsi="Arial"/>
                <w:b w:val="0"/>
                <w:color w:val="000000"/>
                <w:sz w:val="19"/>
              </w:rPr>
              <w:t>Paid by the platform after move-in proof and eligible written terms.</w:t>
            </w:r>
          </w:p>
        </w:tc>
      </w:tr>
      <w:tr>
        <w:trPr>
          <w:cantSplit/>
        </w:trPr>
        <w:tc>
          <w:tcPr>
            <w:tcW w:type="dxa" w:w="1930"/>
            <w:vAlign w:val="center"/>
            <w:tcMar>
              <w:top w:w="90" w:type="dxa"/>
              <w:bottom w:w="90" w:type="dxa"/>
              <w:left w:w="90" w:type="dxa"/>
              <w:right w:w="90" w:type="dxa"/>
            </w:tcMar>
            <w:shd w:fill="FFFFFF"/>
          </w:tcPr>
          <w:p>
            <w:pPr>
              <w:spacing w:after="0" w:line="250" w:lineRule="auto"/>
            </w:pPr>
            <w:r>
              <w:rPr>
                <w:rFonts w:ascii="Arial" w:hAnsi="Arial"/>
                <w:b w:val="0"/>
                <w:color w:val="000000"/>
                <w:sz w:val="19"/>
              </w:rPr>
              <w:t>Sub-agent or referrer</w:t>
            </w:r>
          </w:p>
        </w:tc>
        <w:tc>
          <w:tcPr>
            <w:tcW w:type="dxa" w:w="2621"/>
            <w:vAlign w:val="center"/>
            <w:tcMar>
              <w:top w:w="90" w:type="dxa"/>
              <w:bottom w:w="90" w:type="dxa"/>
              <w:left w:w="90" w:type="dxa"/>
              <w:right w:w="90" w:type="dxa"/>
            </w:tcMar>
            <w:shd w:fill="FFFFFF"/>
          </w:tcPr>
          <w:p>
            <w:pPr>
              <w:spacing w:after="0" w:line="250" w:lineRule="auto"/>
            </w:pPr>
            <w:r>
              <w:rPr>
                <w:rFonts w:ascii="Arial" w:hAnsi="Arial"/>
                <w:b w:val="0"/>
                <w:color w:val="000000"/>
                <w:sz w:val="19"/>
              </w:rPr>
              <w:t>UNSIGNED 10% of that same collected fee</w:t>
            </w:r>
          </w:p>
        </w:tc>
        <w:tc>
          <w:tcPr>
            <w:tcW w:type="dxa" w:w="5242"/>
            <w:vAlign w:val="center"/>
            <w:tcMar>
              <w:top w:w="90" w:type="dxa"/>
              <w:bottom w:w="90" w:type="dxa"/>
              <w:left w:w="90" w:type="dxa"/>
              <w:right w:w="90" w:type="dxa"/>
            </w:tcMar>
            <w:shd w:fill="FFFFFF"/>
          </w:tcPr>
          <w:p>
            <w:pPr>
              <w:spacing w:after="0" w:line="250" w:lineRule="auto"/>
            </w:pPr>
            <w:r>
              <w:rPr>
                <w:rFonts w:ascii="Arial" w:hAnsi="Arial"/>
                <w:b w:val="0"/>
                <w:color w:val="000000"/>
                <w:sz w:val="19"/>
              </w:rPr>
              <w:t>Paid by the platform at the same milestone. Taken out of the agent’s 40% if an agent is also in the chain. The family is not charged twice.</w:t>
            </w:r>
          </w:p>
        </w:tc>
      </w:tr>
      <w:tr>
        <w:trPr>
          <w:cantSplit/>
        </w:trPr>
        <w:tc>
          <w:tcPr>
            <w:tcW w:type="dxa" w:w="1930"/>
            <w:vAlign w:val="center"/>
            <w:tcMar>
              <w:top w:w="90" w:type="dxa"/>
              <w:bottom w:w="90" w:type="dxa"/>
              <w:left w:w="90" w:type="dxa"/>
              <w:right w:w="90" w:type="dxa"/>
            </w:tcMar>
            <w:shd w:fill="F4F6F7"/>
          </w:tcPr>
          <w:p>
            <w:pPr>
              <w:spacing w:after="0" w:line="250" w:lineRule="auto"/>
            </w:pPr>
            <w:r>
              <w:rPr>
                <w:rFonts w:ascii="Arial" w:hAnsi="Arial"/>
                <w:b w:val="0"/>
                <w:color w:val="000000"/>
                <w:sz w:val="19"/>
              </w:rPr>
              <w:t>Platform keeps</w:t>
            </w:r>
          </w:p>
        </w:tc>
        <w:tc>
          <w:tcPr>
            <w:tcW w:type="dxa" w:w="2621"/>
            <w:vAlign w:val="center"/>
            <w:tcMar>
              <w:top w:w="90" w:type="dxa"/>
              <w:bottom w:w="90" w:type="dxa"/>
              <w:left w:w="90" w:type="dxa"/>
              <w:right w:w="90" w:type="dxa"/>
            </w:tcMar>
            <w:shd w:fill="F4F6F7"/>
          </w:tcPr>
          <w:p>
            <w:pPr>
              <w:spacing w:after="0" w:line="250" w:lineRule="auto"/>
            </w:pPr>
            <w:r>
              <w:rPr>
                <w:rFonts w:ascii="Arial" w:hAnsi="Arial"/>
                <w:b w:val="0"/>
                <w:color w:val="000000"/>
                <w:sz w:val="19"/>
              </w:rPr>
              <w:t>UNSIGNED remainder of its own fee</w:t>
            </w:r>
          </w:p>
        </w:tc>
        <w:tc>
          <w:tcPr>
            <w:tcW w:type="dxa" w:w="5242"/>
            <w:vAlign w:val="center"/>
            <w:tcMar>
              <w:top w:w="90" w:type="dxa"/>
              <w:bottom w:w="90" w:type="dxa"/>
              <w:left w:w="90" w:type="dxa"/>
              <w:right w:w="90" w:type="dxa"/>
            </w:tcMar>
            <w:shd w:fill="F4F6F7"/>
          </w:tcPr>
          <w:p>
            <w:pPr>
              <w:spacing w:after="0" w:line="250" w:lineRule="auto"/>
            </w:pPr>
            <w:r>
              <w:rPr>
                <w:rFonts w:ascii="Arial" w:hAnsi="Arial"/>
                <w:b w:val="0"/>
                <w:color w:val="000000"/>
                <w:sz w:val="19"/>
              </w:rPr>
              <w:t>Subject to actual collection, refund accounting and agreed terms.</w:t>
            </w:r>
          </w:p>
        </w:tc>
      </w:tr>
      <w:tr>
        <w:trPr>
          <w:cantSplit/>
        </w:trPr>
        <w:tc>
          <w:tcPr>
            <w:tcW w:type="dxa" w:w="1930"/>
            <w:vAlign w:val="center"/>
            <w:tcMar>
              <w:top w:w="90" w:type="dxa"/>
              <w:bottom w:w="90" w:type="dxa"/>
              <w:left w:w="90" w:type="dxa"/>
              <w:right w:w="90" w:type="dxa"/>
            </w:tcMar>
            <w:shd w:fill="FFFFFF"/>
          </w:tcPr>
          <w:p>
            <w:pPr>
              <w:spacing w:after="0" w:line="250" w:lineRule="auto"/>
            </w:pPr>
            <w:r>
              <w:rPr>
                <w:rFonts w:ascii="Arial" w:hAnsi="Arial"/>
                <w:b w:val="0"/>
                <w:color w:val="000000"/>
                <w:sz w:val="19"/>
              </w:rPr>
              <w:t>Currency</w:t>
            </w:r>
          </w:p>
        </w:tc>
        <w:tc>
          <w:tcPr>
            <w:tcW w:type="dxa" w:w="2621"/>
            <w:vAlign w:val="center"/>
            <w:tcMar>
              <w:top w:w="90" w:type="dxa"/>
              <w:bottom w:w="90" w:type="dxa"/>
              <w:left w:w="90" w:type="dxa"/>
              <w:right w:w="90" w:type="dxa"/>
            </w:tcMar>
            <w:shd w:fill="FFFFFF"/>
          </w:tcPr>
          <w:p>
            <w:pPr>
              <w:spacing w:after="0" w:line="250" w:lineRule="auto"/>
            </w:pPr>
            <w:r>
              <w:rPr>
                <w:rFonts w:ascii="Arial" w:hAnsi="Arial"/>
                <w:b w:val="0"/>
                <w:color w:val="000000"/>
                <w:sz w:val="19"/>
              </w:rPr>
              <w:t>UNSIGNED SGD</w:t>
            </w:r>
          </w:p>
        </w:tc>
        <w:tc>
          <w:tcPr>
            <w:tcW w:type="dxa" w:w="5242"/>
            <w:vAlign w:val="center"/>
            <w:tcMar>
              <w:top w:w="90" w:type="dxa"/>
              <w:bottom w:w="90" w:type="dxa"/>
              <w:left w:w="90" w:type="dxa"/>
              <w:right w:w="90" w:type="dxa"/>
            </w:tcMar>
            <w:shd w:fill="FFFFFF"/>
          </w:tcPr>
          <w:p>
            <w:pPr>
              <w:spacing w:after="0" w:line="250" w:lineRule="auto"/>
            </w:pPr>
            <w:r>
              <w:rPr>
                <w:rFonts w:ascii="Arial" w:hAnsi="Arial"/>
                <w:b w:val="0"/>
                <w:color w:val="000000"/>
                <w:sz w:val="19"/>
              </w:rPr>
              <w:t>If another currency is offered, disclose the applicable Stripe conversion terms before payment. No hidden platform spread.</w:t>
            </w:r>
          </w:p>
        </w:tc>
      </w:tr>
    </w:tbl>
    <w:p>
      <w:pPr>
        <w:spacing w:after="120" w:before="0" w:line="20" w:lineRule="exact"/>
      </w:pPr>
      <w:r>
        <w:rPr>
          <w:sz w:val="2"/>
        </w:rPr>
      </w:r>
    </w:p>
    <w:p>
      <w:r>
        <w:rPr>
          <w:b w:val="0"/>
        </w:rPr>
        <w:t>Do not replace this with Connect subscriptions, estimated IGEMA arrival packs or Sierra’s rent. Confirm fee base, taxes, refund/clawback rules, contracting/payee entity and placement/licensing arrangements before ACCEPT, without inventing new amounts.</w:t>
      </w:r>
    </w:p>
    <w:p>
      <w:r>
        <w:rPr>
          <w:b w:val="0"/>
        </w:rPr>
        <w:t>Written scope must state responsibility and exclusions. Driver fees, SIM costs, repairs and emergency cover are excluded unless the quote includes them. Supplier costs, staff time, processor costs and refund exposure remain uncosted; this card is not proof of profitability.</w:t>
      </w:r>
    </w:p>
    <w:p>
      <w:r>
        <w:rPr>
          <w:b w:val="0"/>
        </w:rPr>
        <w:t>Placement/referral and money collection have unanswered legal questions. Owner acceptance does not substitute for applicable licensing or processor permission. Automated identity approval remains outside this release.</w:t>
      </w:r>
    </w:p>
    <w:p>
      <w:pPr>
        <w:spacing w:after="100"/>
      </w:pPr>
      <w:hyperlink r:id="rId25">
        <w:r>
          <w:rPr>
            <w:color w:val="174D70"/>
            <w:u w:val="single"/>
          </w:rPr>
          <w:t>Commercial decision register</w:t>
        </w:r>
      </w:hyperlink>
    </w:p>
    <w:p>
      <w:r>
        <w:br w:type="page"/>
      </w:r>
    </w:p>
    <w:p>
      <w:pPr>
        <w:pStyle w:val="Heading1"/>
      </w:pPr>
      <w:r>
        <w:rPr>
          <w:color w:val="000000"/>
        </w:rPr>
        <w:t>The P6 evidence and publish gate</w:t>
      </w:r>
    </w:p>
    <w:p>
      <w:r>
        <w:rPr>
          <w:b w:val="0"/>
        </w:rPr>
        <w:t>The original P6 exit is the scale and governance layer operating seriously in production. Each result must apply to this exact deployed release, with evidence retained. No claim of P6 or disruption readiness is allowed while a mandatory gate is false.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560"/>
      </w:tblGrid>
      <w:tr>
        <w:trPr>
          <w:tblHeader/>
        </w:trPr>
        <w:tc>
          <w:tcPr>
            <w:tcW w:type="dxa" w:w="4917"/>
            <w:vAlign w:val="center"/>
            <w:tcMar>
              <w:top w:w="90" w:type="dxa"/>
              <w:bottom w:w="90" w:type="dxa"/>
              <w:left w:w="90" w:type="dxa"/>
              <w:right w:w="90" w:type="dxa"/>
            </w:tcMar>
            <w:shd w:fill="333D46"/>
          </w:tcPr>
          <w:p>
            <w:pPr>
              <w:spacing w:after="0" w:line="250" w:lineRule="auto"/>
            </w:pPr>
            <w:r>
              <w:rPr>
                <w:rFonts w:ascii="Arial" w:hAnsi="Arial"/>
                <w:b/>
                <w:color w:val="FFFFFF"/>
                <w:sz w:val="20"/>
              </w:rPr>
              <w:t>Evidence</w:t>
            </w:r>
          </w:p>
        </w:tc>
        <w:tc>
          <w:tcPr>
            <w:tcW w:type="dxa" w:w="4917"/>
            <w:vAlign w:val="center"/>
            <w:tcMar>
              <w:top w:w="90" w:type="dxa"/>
              <w:bottom w:w="90" w:type="dxa"/>
              <w:left w:w="90" w:type="dxa"/>
              <w:right w:w="90" w:type="dxa"/>
            </w:tcMar>
            <w:shd w:fill="333D46"/>
          </w:tcPr>
          <w:p>
            <w:pPr>
              <w:spacing w:after="0" w:line="250" w:lineRule="auto"/>
            </w:pPr>
            <w:r>
              <w:rPr>
                <w:rFonts w:ascii="Arial" w:hAnsi="Arial"/>
                <w:b/>
                <w:color w:val="FFFFFF"/>
                <w:sz w:val="20"/>
              </w:rPr>
              <w:t>Required result</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20"/>
              </w:rPr>
              <w:t>Authentication and roles</w:t>
            </w:r>
          </w:p>
        </w:tc>
        <w:tc>
          <w:tcPr>
            <w:tcW w:type="dxa" w:w="7560"/>
            <w:vAlign w:val="center"/>
            <w:tcMar>
              <w:top w:w="90" w:type="dxa"/>
              <w:bottom w:w="90" w:type="dxa"/>
              <w:left w:w="90" w:type="dxa"/>
              <w:right w:w="90" w:type="dxa"/>
            </w:tcMar>
            <w:shd w:fill="F4F6F7"/>
          </w:tcPr>
          <w:p>
            <w:pPr>
              <w:spacing w:after="0" w:line="250" w:lineRule="auto"/>
            </w:pPr>
            <w:r>
              <w:rPr>
                <w:rFonts w:ascii="Arial" w:hAnsi="Arial"/>
                <w:b w:val="0"/>
                <w:color w:val="000000"/>
                <w:sz w:val="20"/>
              </w:rPr>
              <w:t>Every required account passes sign-in, permitted action, forbidden action, sign-out and expired-session checks.</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20"/>
              </w:rPr>
              <w:t>Observability</w:t>
            </w:r>
          </w:p>
        </w:tc>
        <w:tc>
          <w:tcPr>
            <w:tcW w:type="dxa" w:w="7560"/>
            <w:vAlign w:val="center"/>
            <w:tcMar>
              <w:top w:w="90" w:type="dxa"/>
              <w:bottom w:w="90" w:type="dxa"/>
              <w:left w:w="90" w:type="dxa"/>
              <w:right w:w="90" w:type="dxa"/>
            </w:tcMar>
            <w:shd w:fill="FFFFFF"/>
          </w:tcPr>
          <w:p>
            <w:pPr>
              <w:spacing w:after="0" w:line="250" w:lineRule="auto"/>
            </w:pPr>
            <w:r>
              <w:rPr>
                <w:rFonts w:ascii="Arial" w:hAnsi="Arial"/>
                <w:b w:val="0"/>
                <w:color w:val="000000"/>
                <w:sz w:val="20"/>
              </w:rPr>
              <w:t>A safe controlled failure has a request ID and redacted log; an alert reaches the designated operator and recovery is recorded.</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20"/>
              </w:rPr>
              <w:t>Routing and HTTPS</w:t>
            </w:r>
          </w:p>
        </w:tc>
        <w:tc>
          <w:tcPr>
            <w:tcW w:type="dxa" w:w="7560"/>
            <w:vAlign w:val="center"/>
            <w:tcMar>
              <w:top w:w="90" w:type="dxa"/>
              <w:bottom w:w="90" w:type="dxa"/>
              <w:left w:w="90" w:type="dxa"/>
              <w:right w:w="90" w:type="dxa"/>
            </w:tcMar>
            <w:shd w:fill="F4F6F7"/>
          </w:tcPr>
          <w:p>
            <w:pPr>
              <w:spacing w:after="0" w:line="250" w:lineRule="auto"/>
            </w:pPr>
            <w:r>
              <w:rPr>
                <w:rFonts w:ascii="Arial" w:hAnsi="Arial"/>
                <w:b w:val="0"/>
                <w:color w:val="000000"/>
                <w:sz w:val="20"/>
              </w:rPr>
              <w:t>Included domains, deep links and callbacks reach the correct service. Certificate verification and renewal responsibility are recorded.</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20"/>
              </w:rPr>
              <w:t>Backup and restore</w:t>
            </w:r>
          </w:p>
        </w:tc>
        <w:tc>
          <w:tcPr>
            <w:tcW w:type="dxa" w:w="7560"/>
            <w:vAlign w:val="center"/>
            <w:tcMar>
              <w:top w:w="90" w:type="dxa"/>
              <w:bottom w:w="90" w:type="dxa"/>
              <w:left w:w="90" w:type="dxa"/>
              <w:right w:w="90" w:type="dxa"/>
            </w:tcMar>
            <w:shd w:fill="FFFFFF"/>
          </w:tcPr>
          <w:p>
            <w:pPr>
              <w:spacing w:after="0" w:line="250" w:lineRule="auto"/>
            </w:pPr>
            <w:r>
              <w:rPr>
                <w:rFonts w:ascii="Arial" w:hAnsi="Arial"/>
                <w:b w:val="0"/>
                <w:color w:val="000000"/>
                <w:sz w:val="20"/>
              </w:rPr>
              <w:t>An isolated restore recovers the test case, signature, inventory links, ledger and audit. Integrity, access checks, recovery time and data-loss window are proved.</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20"/>
              </w:rPr>
              <w:t>Browser smoke</w:t>
            </w:r>
          </w:p>
        </w:tc>
        <w:tc>
          <w:tcPr>
            <w:tcW w:type="dxa" w:w="7560"/>
            <w:vAlign w:val="center"/>
            <w:tcMar>
              <w:top w:w="90" w:type="dxa"/>
              <w:bottom w:w="90" w:type="dxa"/>
              <w:left w:w="90" w:type="dxa"/>
              <w:right w:w="90" w:type="dxa"/>
            </w:tcMar>
            <w:shd w:fill="F4F6F7"/>
          </w:tcPr>
          <w:p>
            <w:pPr>
              <w:spacing w:after="0" w:line="250" w:lineRule="auto"/>
            </w:pPr>
            <w:r>
              <w:rPr>
                <w:rFonts w:ascii="Arial" w:hAnsi="Arial"/>
                <w:b w:val="0"/>
                <w:color w:val="000000"/>
                <w:sz w:val="20"/>
              </w:rPr>
              <w:t>Desktop and phone-browser runs finish the same request, case, signature and payment journey, including denied paths.</w:t>
            </w:r>
          </w:p>
        </w:tc>
      </w:tr>
      <w:tr>
        <w:trPr>
          <w:cantSplit/>
        </w:trPr>
        <w:tc>
          <w:tcPr>
            <w:tcW w:type="dxa" w:w="2232"/>
            <w:vAlign w:val="center"/>
            <w:tcMar>
              <w:top w:w="90" w:type="dxa"/>
              <w:bottom w:w="90" w:type="dxa"/>
              <w:left w:w="90" w:type="dxa"/>
              <w:right w:w="90" w:type="dxa"/>
            </w:tcMar>
            <w:shd w:fill="FFFFFF"/>
          </w:tcPr>
          <w:p>
            <w:pPr>
              <w:spacing w:after="0" w:line="250" w:lineRule="auto"/>
            </w:pPr>
            <w:r>
              <w:rPr>
                <w:rFonts w:ascii="Arial" w:hAnsi="Arial"/>
                <w:b w:val="0"/>
                <w:color w:val="000000"/>
                <w:sz w:val="20"/>
              </w:rPr>
              <w:t>Rollout</w:t>
            </w:r>
          </w:p>
        </w:tc>
        <w:tc>
          <w:tcPr>
            <w:tcW w:type="dxa" w:w="7560"/>
            <w:vAlign w:val="center"/>
            <w:tcMar>
              <w:top w:w="90" w:type="dxa"/>
              <w:bottom w:w="90" w:type="dxa"/>
              <w:left w:w="90" w:type="dxa"/>
              <w:right w:w="90" w:type="dxa"/>
            </w:tcMar>
            <w:shd w:fill="FFFFFF"/>
          </w:tcPr>
          <w:p>
            <w:pPr>
              <w:spacing w:after="0" w:line="250" w:lineRule="auto"/>
            </w:pPr>
            <w:r>
              <w:rPr>
                <w:rFonts w:ascii="Arial" w:hAnsi="Arial"/>
                <w:b w:val="0"/>
                <w:color w:val="000000"/>
                <w:sz w:val="20"/>
              </w:rPr>
              <w:t>Exact source/build/config versions, deployment time and prior version are retained. The way back preserves case and payment truth.</w:t>
            </w:r>
          </w:p>
        </w:tc>
      </w:tr>
      <w:tr>
        <w:trPr>
          <w:cantSplit/>
        </w:trPr>
        <w:tc>
          <w:tcPr>
            <w:tcW w:type="dxa" w:w="2232"/>
            <w:vAlign w:val="center"/>
            <w:tcMar>
              <w:top w:w="90" w:type="dxa"/>
              <w:bottom w:w="90" w:type="dxa"/>
              <w:left w:w="90" w:type="dxa"/>
              <w:right w:w="90" w:type="dxa"/>
            </w:tcMar>
            <w:shd w:fill="F4F6F7"/>
          </w:tcPr>
          <w:p>
            <w:pPr>
              <w:spacing w:after="0" w:line="250" w:lineRule="auto"/>
            </w:pPr>
            <w:r>
              <w:rPr>
                <w:rFonts w:ascii="Arial" w:hAnsi="Arial"/>
                <w:b w:val="0"/>
                <w:color w:val="000000"/>
                <w:sz w:val="20"/>
              </w:rPr>
              <w:t>Governance</w:t>
            </w:r>
          </w:p>
        </w:tc>
        <w:tc>
          <w:tcPr>
            <w:tcW w:type="dxa" w:w="7560"/>
            <w:vAlign w:val="center"/>
            <w:tcMar>
              <w:top w:w="90" w:type="dxa"/>
              <w:bottom w:w="90" w:type="dxa"/>
              <w:left w:w="90" w:type="dxa"/>
              <w:right w:w="90" w:type="dxa"/>
            </w:tcMar>
            <w:shd w:fill="F4F6F7"/>
          </w:tcPr>
          <w:p>
            <w:pPr>
              <w:spacing w:after="0" w:line="250" w:lineRule="auto"/>
            </w:pPr>
            <w:r>
              <w:rPr>
                <w:rFonts w:ascii="Arial" w:hAnsi="Arial"/>
                <w:b w:val="0"/>
                <w:color w:val="000000"/>
                <w:sz w:val="20"/>
              </w:rPr>
              <w:t>Accepted commercial card, applicable legal/processor approval, test-data boundaries, incident owner, exclusions and one owner-only publish action.</w:t>
            </w:r>
          </w:p>
        </w:tc>
      </w:tr>
    </w:tbl>
    <w:p>
      <w:pPr>
        <w:spacing w:after="120" w:before="0" w:line="20" w:lineRule="exact"/>
      </w:pPr>
      <w:r>
        <w:rPr>
          <w:sz w:val="2"/>
        </w:rPr>
      </w:r>
    </w:p>
    <w:p>
      <w:pPr>
        <w:pStyle w:val="Heading2"/>
      </w:pPr>
      <w:r>
        <w:rPr>
          <w:color w:val="000000"/>
        </w:rPr>
        <w:t>FREEZE PUBLISH 00 remains held</w:t>
      </w:r>
    </w:p>
    <w:p>
      <w:r>
        <w:rPr>
          <w:b w:val="0"/>
        </w:rPr>
        <w:t>The final sheet requires every mandatory frozen row, all account proofs, the sandbox suite and accepted non-charging Stripe readiness gate. It explicitly states that actual live capture/refund is not proved. Public charging remains off, the card is accepted, samples cannot deceive, request-to-case works and recovery is established. Only permissible non-blocking exclusions may be parked with Ern’s written acceptance.</w:t>
      </w:r>
    </w:p>
    <w:p>
      <w:r>
        <w:rPr>
          <w:b w:val="0"/>
        </w:rPr>
        <w:t>The single publish control has not yet been proved. Engineering must bind one owner-only action to the reviewed release, reject stale or failed checks and record the action. It must specify exactly which pilot admission and payment capability it opens. A cosmetic button is not enough.</w:t>
      </w:r>
    </w:p>
    <w:p>
      <w:r>
        <w:rPr>
          <w:b/>
        </w:rPr>
        <w:t>The last line of the eventual sheet will be “Ern publishes by doing X.” X will be the observed, tested action. This report does not invent it. The engineering team stops before performing that action.</w:t>
      </w:r>
    </w:p>
    <w:p>
      <w:r>
        <w:br w:type="page"/>
      </w:r>
    </w:p>
    <w:p>
      <w:pPr>
        <w:pStyle w:val="Heading1"/>
      </w:pPr>
      <w:r>
        <w:rPr>
          <w:color w:val="000000"/>
        </w:rPr>
        <w:t>Plan status and evidence</w:t>
      </w:r>
    </w:p>
    <w:p>
      <w:pPr>
        <w:pStyle w:val="Heading2"/>
      </w:pPr>
      <w:r>
        <w:rPr>
          <w:color w:val="000000"/>
        </w:rPr>
        <w:t>Planning corrections and the first repair</w:t>
      </w:r>
    </w:p>
    <w:p>
      <w:r>
        <w:rPr>
          <w:b w:val="0"/>
        </w:rPr>
        <w:t>Five planning gaps have been corrected within the same 24 rows: the private guard boundary, Stripe publish criterion, authority before real activity, retained signature evidence and complete payment records. Whole-home scope is confirmed. Ern’s express Stripe readiness-gate acceptance replaces the old pre-launch real-money requirement; it is no longer an unresolved blocker.</w:t>
      </w:r>
    </w:p>
    <w:p>
      <w:r>
        <w:rPr>
          <w:b w:val="0"/>
        </w:rPr>
        <w:t>FREEZE-PLAN-01 was created at 23:35:46 SGT. The 24 rows and their order are fixed. Only R01 staged work has started; no row has passed. Production activation/recovery access and deployed proofs remain open. Product repairs, account isolation, the case journey, payment reconciliation and P6 evidence remain outstanding.</w:t>
      </w:r>
    </w:p>
    <w:p>
      <w:pPr>
        <w:pStyle w:val="Heading2"/>
      </w:pPr>
      <w:r>
        <w:rPr>
          <w:color w:val="000000"/>
        </w:rPr>
        <w:t>What is decided at the later row</w:t>
      </w:r>
    </w:p>
    <w:p>
      <w:r>
        <w:rPr>
          <w:b w:val="0"/>
        </w:rPr>
        <w:t>Confirm stock authority and actual terms at R03; map verified identities when account proof begins. Establish applicable entity, fee and document authority before the first affected real action. R14 needs the approved effective document for real signing; synthetic fixtures only prove mechanics. The commercial card still needs separate ACCEPT at R18. Ern publishes only after every mandatory gate passes.</w:t>
      </w:r>
    </w:p>
    <w:p>
      <w:r>
        <w:rPr>
          <w:b w:val="0"/>
        </w:rPr>
        <w:t>The accepted payment amendment requires readiness proof without a charge. No actual live capture, live payment-event delivery or real refund is claimed. The original attached DOCX is preserved. Public charging and admission remain held; the plan freeze is not a product or publish approval.</w:t>
      </w:r>
    </w:p>
    <w:p>
      <w:pPr>
        <w:pStyle w:val="Heading2"/>
      </w:pPr>
      <w:r>
        <w:rPr>
          <w:color w:val="000000"/>
        </w:rPr>
        <w:t>Evidence used</w:t>
      </w:r>
    </w:p>
    <w:p>
      <w:pPr>
        <w:spacing w:after="40"/>
      </w:pPr>
      <w:hyperlink r:id="rId11">
        <w:r>
          <w:rPr>
            <w:color w:val="174D70"/>
            <w:u w:val="single"/>
          </w:rPr>
          <w:t>Detailed audit with local evidence links</w:t>
        </w:r>
      </w:hyperlink>
    </w:p>
    <w:p>
      <w:pPr>
        <w:spacing w:after="40"/>
      </w:pPr>
      <w:hyperlink r:id="rId12">
        <w:r>
          <w:rPr>
            <w:color w:val="174D70"/>
            <w:u w:val="single"/>
          </w:rPr>
          <w:t>Authoritative frozen 24-row register and exclusions</w:t>
        </w:r>
      </w:hyperlink>
    </w:p>
    <w:p>
      <w:pPr>
        <w:spacing w:after="40"/>
      </w:pPr>
      <w:hyperlink r:id="rId26">
        <w:r>
          <w:rPr>
            <w:color w:val="174D70"/>
            <w:u w:val="single"/>
          </w:rPr>
          <w:t>Re-audit corrections and planning closeout</w:t>
        </w:r>
      </w:hyperlink>
    </w:p>
    <w:p>
      <w:pPr>
        <w:spacing w:after="40"/>
      </w:pPr>
      <w:hyperlink r:id="rId23">
        <w:r>
          <w:rPr>
            <w:color w:val="174D70"/>
            <w:u w:val="single"/>
          </w:rPr>
          <w:t>Accepted Stripe readiness amendment</w:t>
        </w:r>
      </w:hyperlink>
    </w:p>
    <w:p>
      <w:pPr>
        <w:spacing w:after="40"/>
      </w:pPr>
      <w:hyperlink r:id="rId24">
        <w:r>
          <w:rPr>
            <w:color w:val="174D70"/>
            <w:u w:val="single"/>
          </w:rPr>
          <w:t>Payment methods, country coverage and test limits</w:t>
        </w:r>
      </w:hyperlink>
    </w:p>
    <w:p>
      <w:pPr>
        <w:spacing w:after="40"/>
      </w:pPr>
      <w:hyperlink r:id="rId27">
        <w:r>
          <w:rPr>
            <w:color w:val="174D70"/>
            <w:u w:val="single"/>
          </w:rPr>
          <w:t>Ern’s whole-home confirmation and scope clarifications</w:t>
        </w:r>
      </w:hyperlink>
    </w:p>
    <w:p>
      <w:pPr>
        <w:spacing w:after="40"/>
      </w:pPr>
      <w:hyperlink r:id="rId28">
        <w:r>
          <w:rPr>
            <w:color w:val="174D70"/>
            <w:u w:val="single"/>
          </w:rPr>
          <w:t>City audit of 19 October</w:t>
        </w:r>
      </w:hyperlink>
    </w:p>
    <w:p>
      <w:pPr>
        <w:spacing w:after="40"/>
      </w:pPr>
      <w:hyperlink r:id="rId15">
        <w:r>
          <w:rPr>
            <w:color w:val="174D70"/>
            <w:u w:val="single"/>
          </w:rPr>
          <w:t>Blueprints and boundaries including sitemap and money law</w:t>
        </w:r>
      </w:hyperlink>
    </w:p>
    <w:p>
      <w:pPr>
        <w:spacing w:after="40"/>
      </w:pPr>
      <w:hyperlink r:id="rId29">
        <w:r>
          <w:rPr>
            <w:color w:val="174D70"/>
            <w:u w:val="single"/>
          </w:rPr>
          <w:t>Specifications and design</w:t>
        </w:r>
      </w:hyperlink>
    </w:p>
    <w:p>
      <w:pPr>
        <w:spacing w:after="40"/>
      </w:pPr>
      <w:hyperlink r:id="rId30">
        <w:r>
          <w:rPr>
            <w:color w:val="174D70"/>
            <w:u w:val="single"/>
          </w:rPr>
          <w:t>Authority snapshots of 12 October</w:t>
        </w:r>
      </w:hyperlink>
    </w:p>
    <w:p>
      <w:pPr>
        <w:spacing w:after="40"/>
      </w:pPr>
      <w:hyperlink r:id="rId31">
        <w:r>
          <w:rPr>
            <w:color w:val="174D70"/>
            <w:u w:val="single"/>
          </w:rPr>
          <w:t>Architecture and runbooks</w:t>
        </w:r>
      </w:hyperlink>
    </w:p>
    <w:p>
      <w:pPr>
        <w:spacing w:after="40"/>
      </w:pPr>
      <w:hyperlink r:id="rId32">
        <w:r>
          <w:rPr>
            <w:color w:val="174D70"/>
            <w:u w:val="single"/>
          </w:rPr>
          <w:t>Feature register and approval counts</w:t>
        </w:r>
      </w:hyperlink>
    </w:p>
    <w:p>
      <w:pPr>
        <w:spacing w:after="40"/>
      </w:pPr>
      <w:hyperlink r:id="rId33">
        <w:r>
          <w:rPr>
            <w:color w:val="174D70"/>
            <w:u w:val="single"/>
          </w:rPr>
          <w:t>Work queue version 4</w:t>
        </w:r>
      </w:hyperlink>
    </w:p>
    <w:p>
      <w:pPr>
        <w:spacing w:after="40"/>
      </w:pPr>
      <w:hyperlink r:id="rId34">
        <w:r>
          <w:rPr>
            <w:color w:val="174D70"/>
            <w:u w:val="single"/>
          </w:rPr>
          <w:t>Existing Core source branch</w:t>
        </w:r>
      </w:hyperlink>
    </w:p>
    <w:p>
      <w:pPr>
        <w:spacing w:after="40"/>
      </w:pPr>
      <w:hyperlink r:id="rId35">
        <w:r>
          <w:rPr>
            <w:color w:val="174D70"/>
            <w:u w:val="single"/>
          </w:rPr>
          <w:t>Private unanswered legal question register</w:t>
        </w:r>
      </w:hyperlink>
    </w:p>
    <w:p>
      <w:pPr>
        <w:pStyle w:val="Heading2"/>
      </w:pPr>
      <w:r>
        <w:rPr>
          <w:color w:val="000000"/>
        </w:rPr>
        <w:t>Audit limits and ownership</w:t>
      </w:r>
    </w:p>
    <w:p>
      <w:r>
        <w:rPr>
          <w:b w:val="0"/>
        </w:rPr>
        <w:t>No interactive owner/test login, application submission, payment, restore drill or deployment was performed during the audit. R01 staging has now begun; its production proof remains open. Authenticated archive checks passed. Source and logs were read without opening protected records or secrets.</w:t>
      </w:r>
    </w:p>
    <w:p>
      <w:r>
        <w:rPr>
          <w:b w:val="0"/>
        </w:rPr>
        <w:t>Ecosystem boundary checked against the global and sibling documents. LiveUIN Core, Trust and Ops retain durable truth; TrustPay and LiveLedger record finance while licensed providers move money. Public/private surfaces display or act on those records. IGEMA remains assigned fulfilment; Laijuzhu, WeChat and WordPress remain funnel, bridge and connector layers. Request/share work uses the Demand Core / LeadPassport lane. No AI work is included.</w:t>
      </w:r>
    </w:p>
    <w:sectPr w:rsidR="00FC693F" w:rsidRPr="0006063C" w:rsidSect="00034616">
      <w:headerReference w:type="default" r:id="rId9"/>
      <w:footerReference w:type="default" r:id="rId10"/>
      <w:pgSz w:w="11909" w:h="16834"/>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Plan frozen   •   Product proof open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LiveUIN P06 review   19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4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UDIT-REVIEW-01.md" TargetMode="External"/><Relationship Id="rId12" Type="http://schemas.openxmlformats.org/officeDocument/2006/relationships/hyperlink" Target="FREEZE-PLAN-01.md" TargetMode="External"/><Relationship Id="rId13" Type="http://schemas.openxmlformats.org/officeDocument/2006/relationships/hyperlink" Target="evidence/live-audit-report.md" TargetMode="External"/><Relationship Id="rId14" Type="http://schemas.openxmlformats.org/officeDocument/2006/relationships/hyperlink" Target="https://www.liveuin.com/stays/listing_ef55a13993724d8e8d1201cb" TargetMode="External"/><Relationship Id="rId15" Type="http://schemas.openxmlformats.org/officeDocument/2006/relationships/hyperlink" Target="https://drive.google.com/file/d/1fAVkh3gGAwgKhYIXPoIpHDkUthbOI0Zi/view" TargetMode="External"/><Relationship Id="rId16" Type="http://schemas.openxmlformats.org/officeDocument/2006/relationships/hyperlink" Target="evidence/source-boundary-report.md" TargetMode="External"/><Relationship Id="rId17" Type="http://schemas.openxmlformats.org/officeDocument/2006/relationships/hyperlink" Target="evidence/production-baseline-closeout.md" TargetMode="External"/><Relationship Id="rId18" Type="http://schemas.openxmlformats.org/officeDocument/2006/relationships/hyperlink" Target="../LIVEUIN-PERSONA-ENTITLEMENT-UI-CONSISTENCY-AUDIT-2026-05-28.md" TargetMode="External"/><Relationship Id="rId19" Type="http://schemas.openxmlformats.org/officeDocument/2006/relationships/hyperlink" Target="https://docs.stripe.com/testing" TargetMode="External"/><Relationship Id="rId20" Type="http://schemas.openxmlformats.org/officeDocument/2006/relationships/hyperlink" Target="https://stripe.com/legal/restricted-businesses" TargetMode="External"/><Relationship Id="rId21" Type="http://schemas.openxmlformats.org/officeDocument/2006/relationships/hyperlink" Target="https://docs.stripe.com/webhooks" TargetMode="External"/><Relationship Id="rId22" Type="http://schemas.openxmlformats.org/officeDocument/2006/relationships/hyperlink" Target="https://docs.stripe.com/refunds" TargetMode="External"/><Relationship Id="rId23" Type="http://schemas.openxmlformats.org/officeDocument/2006/relationships/hyperlink" Target="PAYMENT-GATE-AMENDMENT-01.md" TargetMode="External"/><Relationship Id="rId24" Type="http://schemas.openxmlformats.org/officeDocument/2006/relationships/hyperlink" Target="PAYMENT-COVERAGE-MATRIX-01.md" TargetMode="External"/><Relationship Id="rId25" Type="http://schemas.openxmlformats.org/officeDocument/2006/relationships/hyperlink" Target="https://docs.google.com/document/d/1XNzELTEMKq6FW2VZJXv4sUzwx3omySqJdds760n-FYE/edit" TargetMode="External"/><Relationship Id="rId26" Type="http://schemas.openxmlformats.org/officeDocument/2006/relationships/hyperlink" Target="PLAN-GAP-CLOSEOUT-01.md" TargetMode="External"/><Relationship Id="rId27" Type="http://schemas.openxmlformats.org/officeDocument/2006/relationships/hyperlink" Target="evidence/owner-clarifications-2026-10-19.md" TargetMode="External"/><Relationship Id="rId28" Type="http://schemas.openxmlformats.org/officeDocument/2006/relationships/hyperlink" Target="https://docs.google.com/document/d/1OOGVnclWK_DxEioNw--wxpoOpuzC-70VV1wrshzKCrU/edit" TargetMode="External"/><Relationship Id="rId29" Type="http://schemas.openxmlformats.org/officeDocument/2006/relationships/hyperlink" Target="https://drive.google.com/file/d/1ogyRBX4u7AyXvNjNNrb6U0M2zQnWd1hr/view" TargetMode="External"/><Relationship Id="rId30" Type="http://schemas.openxmlformats.org/officeDocument/2006/relationships/hyperlink" Target="https://drive.google.com/file/d/13y1E9sss0OwnLzCfoVf_-lx2zRzRwbmm/view" TargetMode="External"/><Relationship Id="rId31" Type="http://schemas.openxmlformats.org/officeDocument/2006/relationships/hyperlink" Target="https://drive.google.com/file/d/14nrxeFq7W5y1vIE-In9Cfp70kuqUueRG/view" TargetMode="External"/><Relationship Id="rId32" Type="http://schemas.openxmlformats.org/officeDocument/2006/relationships/hyperlink" Target="https://drive.google.com/file/d/1DLiMHmLSTCvKkikOws169--1vFbpwF8x/view" TargetMode="External"/><Relationship Id="rId33" Type="http://schemas.openxmlformats.org/officeDocument/2006/relationships/hyperlink" Target="https://docs.google.com/spreadsheets/d/1DBDkQZrkqAoc2cGIiuE8w9NqEyj_xCm1bFQAE-E0Bfo/edit" TargetMode="External"/><Relationship Id="rId34" Type="http://schemas.openxmlformats.org/officeDocument/2006/relationships/hyperlink" Target="https://github.com/timlavente/liveuin-platform/tree/chatgpt/m2-canonical-canary-20261001" TargetMode="External"/><Relationship Id="rId35" Type="http://schemas.openxmlformats.org/officeDocument/2006/relationships/hyperlink" Target="https://docs.google.com/spreadsheets/d/1-BDmNx0j-v5R9O-yf_a4NrBCRfvzINiVDNEUNO9Tj_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LiveUIN P06 Revised Plan 19 October 2026</dc:title>
  <dc:subject>Frozen LiveUIN pilot close out plan with first repair staged and production proofs open</dc:subject>
  <dc:creator>LiveUIN close out engineering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