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Uncertainty</w:t>
      </w:r>
    </w:p>
    <w:p>
      <w:pPr>
        <w:pStyle w:val="Subtitle"/>
      </w:pPr>
      <w:r>
        <w:t xml:space="preserve">Exercise 6 — ISS dataviz, Spring 2026</w:t>
      </w:r>
    </w:p>
    <w:p>
      <w:pPr>
        <w:pStyle w:val="Author"/>
      </w:pPr>
      <w:r>
        <w:t xml:space="preserve">YOUR NAME HERE</w:t>
      </w:r>
    </w:p>
    <w:p>
      <w:pPr>
        <w:pStyle w:val="Date"/>
      </w:pPr>
      <w:r>
        <w:t xml:space="preserve">Invalid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task-1-session-check-in"/>
    <w:p>
      <w:pPr>
        <w:pStyle w:val="Heading1"/>
      </w:pPr>
      <w:r>
        <w:t xml:space="preserve">Task 1: Session check-in</w:t>
      </w:r>
    </w:p>
    <w:p>
      <w:pPr>
        <w:pStyle w:val="FirstParagraph"/>
      </w:pPr>
      <w:r>
        <w:t xml:space="preserve">Three interesting or exciting things:</w:t>
      </w:r>
    </w:p>
    <w:p>
      <w:pPr>
        <w:pStyle w:val="Compact"/>
        <w:numPr>
          <w:ilvl w:val="0"/>
          <w:numId w:val="1001"/>
        </w:numPr>
      </w:pPr>
      <w:r>
        <w:t xml:space="preserve">Something</w:t>
      </w:r>
    </w:p>
    <w:p>
      <w:pPr>
        <w:pStyle w:val="Compact"/>
        <w:numPr>
          <w:ilvl w:val="0"/>
          <w:numId w:val="1001"/>
        </w:numPr>
      </w:pPr>
      <w:r>
        <w:t xml:space="preserve">Something</w:t>
      </w:r>
    </w:p>
    <w:p>
      <w:pPr>
        <w:pStyle w:val="Compact"/>
        <w:numPr>
          <w:ilvl w:val="0"/>
          <w:numId w:val="1001"/>
        </w:numPr>
      </w:pPr>
      <w:r>
        <w:t xml:space="preserve">Something</w:t>
      </w:r>
    </w:p>
    <w:p>
      <w:pPr>
        <w:pStyle w:val="FirstParagraph"/>
      </w:pPr>
      <w:r>
        <w:t xml:space="preserve">Three muddy or unclear things:</w:t>
      </w:r>
    </w:p>
    <w:p>
      <w:pPr>
        <w:pStyle w:val="Compact"/>
        <w:numPr>
          <w:ilvl w:val="0"/>
          <w:numId w:val="1002"/>
        </w:numPr>
      </w:pPr>
      <w:r>
        <w:t xml:space="preserve">Something</w:t>
      </w:r>
    </w:p>
    <w:p>
      <w:pPr>
        <w:pStyle w:val="Compact"/>
        <w:numPr>
          <w:ilvl w:val="0"/>
          <w:numId w:val="1002"/>
        </w:numPr>
      </w:pPr>
      <w:r>
        <w:t xml:space="preserve">Something</w:t>
      </w:r>
    </w:p>
    <w:p>
      <w:pPr>
        <w:pStyle w:val="Compact"/>
        <w:numPr>
          <w:ilvl w:val="0"/>
          <w:numId w:val="1002"/>
        </w:numPr>
      </w:pPr>
      <w:r>
        <w:t xml:space="preserve">Something</w:t>
      </w:r>
    </w:p>
    <w:bookmarkEnd w:id="20"/>
    <w:bookmarkStart w:id="38" w:name="task-2-us-public-spending-on-children"/>
    <w:p>
      <w:pPr>
        <w:pStyle w:val="Heading1"/>
      </w:pPr>
      <w:r>
        <w:t xml:space="preserve">Task 2: US public spending on children</w:t>
      </w:r>
    </w:p>
    <w:bookmarkStart w:id="25" w:name="data-description-and-cleaning"/>
    <w:p>
      <w:pPr>
        <w:pStyle w:val="Heading2"/>
      </w:pPr>
      <w:r>
        <w:t xml:space="preserve">Data description and cleaning</w:t>
      </w:r>
    </w:p>
    <w:p>
      <w:pPr>
        <w:pStyle w:val="FirstParagraph"/>
      </w:pPr>
      <w:r>
        <w:t xml:space="preserve">This data comes from the</w:t>
      </w:r>
      <w:r>
        <w:t xml:space="preserve"> </w:t>
      </w:r>
      <w:hyperlink r:id="rId21">
        <w:r>
          <w:rPr>
            <w:rStyle w:val="Hyperlink"/>
          </w:rPr>
          <w:t xml:space="preserve">Urban Institute</w:t>
        </w:r>
      </w:hyperlink>
      <w:r>
        <w:t xml:space="preserve">, and it was a</w:t>
      </w:r>
      <w:r>
        <w:t xml:space="preserve"> </w:t>
      </w:r>
      <w:hyperlink r:id="rId22">
        <w:r>
          <w:rPr>
            <w:rStyle w:val="Hyperlink"/>
          </w:rPr>
          <w:t xml:space="preserve">#TidyTuesday dataset in September 2020</w:t>
        </w:r>
      </w:hyperlink>
    </w:p>
    <w:p>
      <w:pPr>
        <w:pStyle w:val="BodyText"/>
      </w:pPr>
      <w:r>
        <w:t xml:space="preserve">This dataset is a little different from others you’ve worked with for a couple reasons!</w:t>
      </w:r>
    </w:p>
    <w:p>
      <w:pPr>
        <w:numPr>
          <w:ilvl w:val="0"/>
          <w:numId w:val="1003"/>
        </w:numPr>
      </w:pPr>
      <w:r>
        <w:t xml:space="preserve">The data has a column for each state, but does not come with columns for US Census regions (i.e. South, West, Midwest, and Northeast) or US Census divisinos (e.g., Middle Atlantic, New England, Pacific, etc.). To give you those columns, I’ve included a second dataset in</w:t>
      </w:r>
      <w:r>
        <w:t xml:space="preserve"> </w:t>
      </w:r>
      <w:r>
        <w:rPr>
          <w:rStyle w:val="VerbatimChar"/>
        </w:rPr>
        <w:t xml:space="preserve">data/state_details.csv</w:t>
      </w:r>
      <w:r>
        <w:t xml:space="preserve"> </w:t>
      </w:r>
      <w:r>
        <w:t xml:space="preserve">that contains these details—in the code below you’ll use</w:t>
      </w:r>
      <w:r>
        <w:t xml:space="preserve"> </w:t>
      </w:r>
      <w:r>
        <w:rPr>
          <w:rStyle w:val="VerbatimChar"/>
        </w:rPr>
        <w:t xml:space="preserve">left_join()</w:t>
      </w:r>
      <w:r>
        <w:t xml:space="preserve"> </w:t>
      </w:r>
      <w:r>
        <w:t xml:space="preserve">to merge this dataset with the main data.</w:t>
      </w:r>
    </w:p>
    <w:p>
      <w:pPr>
        <w:numPr>
          <w:ilvl w:val="0"/>
          <w:numId w:val="1003"/>
        </w:numPr>
      </w:pPr>
      <w:r>
        <w:t xml:space="preserve">The main</w:t>
      </w:r>
      <w:r>
        <w:t xml:space="preserve"> </w:t>
      </w:r>
      <w:r>
        <w:rPr>
          <w:rStyle w:val="VerbatimChar"/>
        </w:rPr>
        <w:t xml:space="preserve">data/kids.csv</w:t>
      </w:r>
      <w:r>
        <w:t xml:space="preserve"> </w:t>
      </w:r>
      <w:r>
        <w:t xml:space="preserve">file is long and tidy, which means that instead of having a column for education expenditures, a column for Pell Grants, a column for Head Start expenditures, and so on, there’s one column called</w:t>
      </w:r>
      <w:r>
        <w:t xml:space="preserve"> </w:t>
      </w:r>
      <w:r>
        <w:rPr>
          <w:rStyle w:val="VerbatimChar"/>
        </w:rPr>
        <w:t xml:space="preserve">variable</w:t>
      </w:r>
      <w:r>
        <w:t xml:space="preserve"> </w:t>
      </w:r>
      <w:r>
        <w:t xml:space="preserve">with rows for each of the different variables, like this:</w:t>
      </w:r>
    </w:p>
    <w:p>
      <w:pPr>
        <w:pStyle w:val="SourceCode"/>
        <w:numPr>
          <w:ilvl w:val="0"/>
          <w:numId w:val="1000"/>
        </w:numPr>
      </w:pPr>
      <w:r>
        <w:rPr>
          <w:rStyle w:val="NormalTok"/>
        </w:rPr>
        <w:t xml:space="preserve"> state   variable       year      raw  inf_adj inf_adj_perchild </w:t>
      </w:r>
      <w:r>
        <w:br/>
      </w:r>
      <w:r>
        <w:rPr>
          <w:rStyle w:val="NormalTok"/>
        </w:rPr>
        <w:t xml:space="preserve">  &lt;chr&gt;   &lt;chr&gt;         &lt;dbl&gt;    &lt;dbl&gt;    &lt;dbl&gt;            &lt;dbl&gt;</w:t>
      </w:r>
      <w:r>
        <w:br/>
      </w:r>
      <w:r>
        <w:rPr>
          <w:rStyle w:val="NormalTok"/>
        </w:rPr>
        <w:t xml:space="preserve">1 Alabama PK12ed         1997 3271969  4665308.           3.93  </w:t>
      </w:r>
      <w:r>
        <w:br/>
      </w:r>
      <w:r>
        <w:rPr>
          <w:rStyle w:val="NormalTok"/>
        </w:rPr>
        <w:t xml:space="preserve">2 Alabama highered       1997  956505  1363824.           1.15  </w:t>
      </w:r>
      <w:r>
        <w:br/>
      </w:r>
      <w:r>
        <w:rPr>
          <w:rStyle w:val="NormalTok"/>
        </w:rPr>
        <w:t xml:space="preserve">3 Alabama edsubs         1997  107733   153610.           0.129 </w:t>
      </w:r>
      <w:r>
        <w:br/>
      </w:r>
      <w:r>
        <w:rPr>
          <w:rStyle w:val="NormalTok"/>
        </w:rPr>
        <w:t xml:space="preserve">4 Alabama edservs        1997  246057   350838.           0.296 </w:t>
      </w:r>
      <w:r>
        <w:br/>
      </w:r>
      <w:r>
        <w:rPr>
          <w:rStyle w:val="NormalTok"/>
        </w:rPr>
        <w:t xml:space="preserve">5 Alabama pell           1997  120833.  172289.           0.145 </w:t>
      </w:r>
      <w:r>
        <w:br/>
      </w:r>
      <w:r>
        <w:rPr>
          <w:rStyle w:val="NormalTok"/>
        </w:rPr>
        <w:t xml:space="preserve">6 Alabama HeadStartPriv  1997   55777.   79530.           0.0670</w:t>
      </w:r>
      <w:r>
        <w:br/>
      </w:r>
      <w:r>
        <w:rPr>
          <w:rStyle w:val="NormalTok"/>
        </w:rPr>
        <w:t xml:space="preserve">7 Alabama TANFbasic      1997   63818.   90994.           0.0766</w:t>
      </w:r>
    </w:p>
    <w:p>
      <w:pPr>
        <w:numPr>
          <w:ilvl w:val="0"/>
          <w:numId w:val="1000"/>
        </w:numPr>
      </w:pPr>
      <w:r>
        <w:t xml:space="preserve">This means you’ll need to use</w:t>
      </w:r>
      <w:r>
        <w:t xml:space="preserve"> </w:t>
      </w:r>
      <w:r>
        <w:rPr>
          <w:rStyle w:val="VerbatimChar"/>
        </w:rPr>
        <w:t xml:space="preserve">filter()</w:t>
      </w:r>
      <w:r>
        <w:t xml:space="preserve"> </w:t>
      </w:r>
      <w:r>
        <w:t xml:space="preserve">to choose the different variables you want to work with:</w:t>
      </w:r>
    </w:p>
    <w:p>
      <w:pPr>
        <w:pStyle w:val="SourceCode"/>
        <w:numPr>
          <w:ilvl w:val="0"/>
          <w:numId w:val="1000"/>
        </w:numPr>
      </w:pPr>
      <w:r>
        <w:rPr>
          <w:rStyle w:val="NormalTok"/>
        </w:rPr>
        <w:t xml:space="preserve">k12_spending </w:t>
      </w:r>
      <w:r>
        <w:rPr>
          <w:rStyle w:val="OtherTok"/>
        </w:rPr>
        <w:t xml:space="preserve">&lt;-</w:t>
      </w:r>
      <w:r>
        <w:rPr>
          <w:rStyle w:val="NormalTok"/>
        </w:rPr>
        <w:t xml:space="preserve"> kids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(variable </w:t>
      </w:r>
      <w:r>
        <w:rPr>
          <w:rStyle w:val="SpecialCharTok"/>
        </w:rPr>
        <w:t xml:space="preserve">==</w:t>
      </w:r>
      <w:r>
        <w:rPr>
          <w:rStyle w:val="NormalTok"/>
        </w:rPr>
        <w:t xml:space="preserve"> </w:t>
      </w:r>
      <w:r>
        <w:rPr>
          <w:rStyle w:val="StringTok"/>
        </w:rPr>
        <w:t xml:space="preserve">"PK12ed"</w:t>
      </w:r>
      <w:r>
        <w:rPr>
          <w:rStyle w:val="NormalTok"/>
        </w:rPr>
        <w:t xml:space="preserve">)</w:t>
      </w:r>
    </w:p>
    <w:p>
      <w:pPr>
        <w:pStyle w:val="FirstParagraph"/>
      </w:pPr>
      <w:r>
        <w:t xml:space="preserve">After merging the two datasets, you’ll have 9 columns in</w:t>
      </w:r>
      <w:r>
        <w:t xml:space="preserve"> </w:t>
      </w:r>
      <w:r>
        <w:rPr>
          <w:rStyle w:val="VerbatimChar"/>
        </w:rPr>
        <w:t xml:space="preserve">kids</w:t>
      </w:r>
      <w:r>
        <w:t xml:space="preserve">:</w:t>
      </w:r>
    </w:p>
    <w:p>
      <w:pPr>
        <w:pStyle w:val="Compact"/>
        <w:numPr>
          <w:ilvl w:val="0"/>
          <w:numId w:val="1004"/>
        </w:numPr>
      </w:pPr>
      <w:r>
        <w:rPr>
          <w:rStyle w:val="VerbatimChar"/>
        </w:rPr>
        <w:t xml:space="preserve">state</w:t>
      </w:r>
      <w:r>
        <w:t xml:space="preserve">: The state (including the District of Columbia)</w:t>
      </w:r>
    </w:p>
    <w:p>
      <w:pPr>
        <w:pStyle w:val="Compact"/>
        <w:numPr>
          <w:ilvl w:val="0"/>
          <w:numId w:val="1004"/>
        </w:numPr>
      </w:pPr>
      <w:r>
        <w:rPr>
          <w:rStyle w:val="VerbatimChar"/>
        </w:rPr>
        <w:t xml:space="preserve">variable</w:t>
      </w:r>
      <w:r>
        <w:t xml:space="preserve">: The variable being measured. There are 23 of these—</w:t>
      </w:r>
      <w:hyperlink r:id="rId23">
        <w:r>
          <w:rPr>
            <w:rStyle w:val="Hyperlink"/>
          </w:rPr>
          <w:t xml:space="preserve">see the codebook here</w:t>
        </w:r>
      </w:hyperlink>
      <w:r>
        <w:t xml:space="preserve"> </w:t>
      </w:r>
      <w:r>
        <w:t xml:space="preserve">for a complete list. You’ll be working with these in this exercise:</w:t>
      </w:r>
    </w:p>
    <w:p>
      <w:pPr>
        <w:pStyle w:val="Compact"/>
        <w:numPr>
          <w:ilvl w:val="1"/>
          <w:numId w:val="1005"/>
        </w:numPr>
      </w:pPr>
      <w:r>
        <w:rPr>
          <w:rStyle w:val="VerbatimChar"/>
        </w:rPr>
        <w:t xml:space="preserve">PK12ed</w:t>
      </w:r>
      <w:r>
        <w:t xml:space="preserve">: Elementary and secondary education expenditures</w:t>
      </w:r>
    </w:p>
    <w:p>
      <w:pPr>
        <w:pStyle w:val="Compact"/>
        <w:numPr>
          <w:ilvl w:val="1"/>
          <w:numId w:val="1005"/>
        </w:numPr>
      </w:pPr>
      <w:r>
        <w:rPr>
          <w:rStyle w:val="VerbatimChar"/>
        </w:rPr>
        <w:t xml:space="preserve">SNAP</w:t>
      </w:r>
      <w:r>
        <w:t xml:space="preserve">: Public spending on SNAP benefit payments that go to children</w:t>
      </w:r>
    </w:p>
    <w:p>
      <w:pPr>
        <w:pStyle w:val="Compact"/>
        <w:numPr>
          <w:ilvl w:val="1"/>
          <w:numId w:val="1005"/>
        </w:numPr>
      </w:pPr>
      <w:r>
        <w:rPr>
          <w:rStyle w:val="VerbatimChar"/>
        </w:rPr>
        <w:t xml:space="preserve">lib</w:t>
      </w:r>
      <w:r>
        <w:t xml:space="preserve">: Public spending on libraries</w:t>
      </w:r>
    </w:p>
    <w:p>
      <w:pPr>
        <w:pStyle w:val="Compact"/>
        <w:numPr>
          <w:ilvl w:val="0"/>
          <w:numId w:val="1004"/>
        </w:numPr>
      </w:pPr>
      <w:r>
        <w:rPr>
          <w:rStyle w:val="VerbatimChar"/>
        </w:rPr>
        <w:t xml:space="preserve">year</w:t>
      </w:r>
      <w:r>
        <w:t xml:space="preserve">: The year</w:t>
      </w:r>
    </w:p>
    <w:p>
      <w:pPr>
        <w:pStyle w:val="Compact"/>
        <w:numPr>
          <w:ilvl w:val="0"/>
          <w:numId w:val="1004"/>
        </w:numPr>
      </w:pPr>
      <w:r>
        <w:rPr>
          <w:rStyle w:val="VerbatimChar"/>
        </w:rPr>
        <w:t xml:space="preserve">raw</w:t>
      </w:r>
      <w:r>
        <w:t xml:space="preserve">: The actual amount spent</w:t>
      </w:r>
    </w:p>
    <w:p>
      <w:pPr>
        <w:pStyle w:val="Compact"/>
        <w:numPr>
          <w:ilvl w:val="0"/>
          <w:numId w:val="1004"/>
        </w:numPr>
      </w:pPr>
      <w:r>
        <w:rPr>
          <w:rStyle w:val="VerbatimChar"/>
        </w:rPr>
        <w:t xml:space="preserve">inf_adj</w:t>
      </w:r>
      <w:r>
        <w:t xml:space="preserve">: The amount spent, adjusted to 2016 dollars</w:t>
      </w:r>
    </w:p>
    <w:p>
      <w:pPr>
        <w:pStyle w:val="Compact"/>
        <w:numPr>
          <w:ilvl w:val="0"/>
          <w:numId w:val="1004"/>
        </w:numPr>
      </w:pPr>
      <w:r>
        <w:rPr>
          <w:rStyle w:val="VerbatimChar"/>
        </w:rPr>
        <w:t xml:space="preserve">inf_adj_perchild</w:t>
      </w:r>
      <w:r>
        <w:t xml:space="preserve">: The amount spent</w:t>
      </w:r>
      <w:r>
        <w:t xml:space="preserve"> </w:t>
      </w:r>
      <w:r>
        <w:rPr>
          <w:i/>
          <w:iCs/>
        </w:rPr>
        <w:t xml:space="preserve">per child in the state</w:t>
      </w:r>
      <w:r>
        <w:t xml:space="preserve">, adjusted to 2016 dollars</w:t>
      </w:r>
    </w:p>
    <w:p>
      <w:pPr>
        <w:pStyle w:val="Compact"/>
        <w:numPr>
          <w:ilvl w:val="0"/>
          <w:numId w:val="1004"/>
        </w:numPr>
      </w:pPr>
      <w:r>
        <w:rPr>
          <w:rStyle w:val="VerbatimChar"/>
        </w:rPr>
        <w:t xml:space="preserve">state_abb</w:t>
      </w:r>
      <w:r>
        <w:t xml:space="preserve">: The state abbreviation (e.g., AL, AK, AZ)</w:t>
      </w:r>
    </w:p>
    <w:p>
      <w:pPr>
        <w:pStyle w:val="Compact"/>
        <w:numPr>
          <w:ilvl w:val="0"/>
          <w:numId w:val="1004"/>
        </w:numPr>
      </w:pPr>
      <w:r>
        <w:rPr>
          <w:rStyle w:val="VerbatimChar"/>
        </w:rPr>
        <w:t xml:space="preserve">region</w:t>
      </w:r>
      <w:r>
        <w:t xml:space="preserve">: The</w:t>
      </w:r>
      <w:r>
        <w:t xml:space="preserve"> </w:t>
      </w:r>
      <w:hyperlink r:id="rId24">
        <w:r>
          <w:rPr>
            <w:rStyle w:val="Hyperlink"/>
          </w:rPr>
          <w:t xml:space="preserve">US Census region</w:t>
        </w:r>
      </w:hyperlink>
      <w:r>
        <w:t xml:space="preserve"> </w:t>
      </w:r>
      <w:r>
        <w:t xml:space="preserve">(South, West, Midwest, and Northeast)</w:t>
      </w:r>
    </w:p>
    <w:p>
      <w:pPr>
        <w:pStyle w:val="Compact"/>
        <w:numPr>
          <w:ilvl w:val="0"/>
          <w:numId w:val="1004"/>
        </w:numPr>
      </w:pPr>
      <w:r>
        <w:rPr>
          <w:rStyle w:val="VerbatimChar"/>
        </w:rPr>
        <w:t xml:space="preserve">division</w:t>
      </w:r>
      <w:r>
        <w:t xml:space="preserve">: The</w:t>
      </w:r>
      <w:r>
        <w:t xml:space="preserve"> </w:t>
      </w:r>
      <w:hyperlink r:id="rId24">
        <w:r>
          <w:rPr>
            <w:rStyle w:val="Hyperlink"/>
          </w:rPr>
          <w:t xml:space="preserve">US Census division</w:t>
        </w:r>
      </w:hyperlink>
      <w:r>
        <w:t xml:space="preserve"> </w:t>
      </w:r>
      <w:r>
        <w:t xml:space="preserve">(e.g., Middle Atlantic, New England, Pacific)</w:t>
      </w:r>
    </w:p>
    <w:p>
      <w:pPr>
        <w:pStyle w:val="FirstParagraph"/>
      </w:pPr>
      <w:r>
        <w:t xml:space="preserve">The code below loads, merges, and cleans the two datasets, resulting in a data frame named</w:t>
      </w:r>
      <w:r>
        <w:t xml:space="preserve"> </w:t>
      </w:r>
      <w:r>
        <w:rPr>
          <w:rStyle w:val="VerbatimChar"/>
        </w:rPr>
        <w:t xml:space="preserve">kids</w:t>
      </w:r>
      <w:r>
        <w:t xml:space="preserve">.</w:t>
      </w:r>
      <w:r>
        <w:t xml:space="preserve"> </w:t>
      </w:r>
      <w:r>
        <w:rPr>
          <w:b/>
          <w:bCs/>
        </w:rPr>
        <w:t xml:space="preserve">You don’t need to modify anything in this chunk of code—you only need to run it.</w:t>
      </w:r>
    </w:p>
    <w:p>
      <w:pPr>
        <w:pStyle w:val="SourceCode"/>
      </w:pPr>
      <w:r>
        <w:rPr>
          <w:rStyle w:val="FunctionTok"/>
        </w:rPr>
        <w:t xml:space="preserve">library</w:t>
      </w:r>
      <w:r>
        <w:rPr>
          <w:rStyle w:val="NormalTok"/>
        </w:rPr>
        <w:t xml:space="preserve">(tidyverse) </w:t>
      </w:r>
      <w:r>
        <w:rPr>
          <w:rStyle w:val="CommentTok"/>
        </w:rPr>
        <w:t xml:space="preserve"># For ggplot2, dplyr, and friends</w:t>
      </w:r>
      <w:r>
        <w:br/>
      </w:r>
      <w:r>
        <w:rPr>
          <w:rStyle w:val="FunctionTok"/>
        </w:rPr>
        <w:t xml:space="preserve">library</w:t>
      </w:r>
      <w:r>
        <w:rPr>
          <w:rStyle w:val="NormalTok"/>
        </w:rPr>
        <w:t xml:space="preserve">(ggridges)  </w:t>
      </w:r>
      <w:r>
        <w:rPr>
          <w:rStyle w:val="CommentTok"/>
        </w:rPr>
        <w:t xml:space="preserve"># For ridge plots</w:t>
      </w:r>
      <w:r>
        <w:br/>
      </w:r>
      <w:r>
        <w:rPr>
          <w:rStyle w:val="FunctionTok"/>
        </w:rPr>
        <w:t xml:space="preserve">library</w:t>
      </w:r>
      <w:r>
        <w:rPr>
          <w:rStyle w:val="NormalTok"/>
        </w:rPr>
        <w:t xml:space="preserve">(gghalves)  </w:t>
      </w:r>
      <w:r>
        <w:rPr>
          <w:rStyle w:val="CommentTok"/>
        </w:rPr>
        <w:t xml:space="preserve"># For half geoms</w:t>
      </w:r>
      <w:r>
        <w:br/>
      </w:r>
      <w:r>
        <w:br/>
      </w:r>
      <w:r>
        <w:rPr>
          <w:rStyle w:val="CommentTok"/>
        </w:rPr>
        <w:t xml:space="preserve"># Make the randomness of jittering points the same every time you render this</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CommentTok"/>
        </w:rPr>
        <w:t xml:space="preserve"># Load state data</w:t>
      </w:r>
      <w:r>
        <w:br/>
      </w:r>
      <w:r>
        <w:rPr>
          <w:rStyle w:val="NormalTok"/>
        </w:rPr>
        <w:t xml:space="preserve">state_details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"data/state_details.csv"</w:t>
      </w:r>
      <w:r>
        <w:rPr>
          <w:rStyle w:val="NormalTok"/>
        </w:rPr>
        <w:t xml:space="preserve">)</w:t>
      </w:r>
      <w:r>
        <w:br/>
      </w:r>
      <w:r>
        <w:br/>
      </w:r>
      <w:r>
        <w:rPr>
          <w:rStyle w:val="CommentTok"/>
        </w:rPr>
        <w:t xml:space="preserve"># Load kids data and merge in state data</w:t>
      </w:r>
      <w:r>
        <w:br/>
      </w:r>
      <w:r>
        <w:rPr>
          <w:rStyle w:val="NormalTok"/>
        </w:rPr>
        <w:t xml:space="preserve">kids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"data/kids.csv"</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(state_details, </w:t>
      </w:r>
      <w:r>
        <w:rPr>
          <w:rStyle w:val="AttributeTok"/>
        </w:rPr>
        <w:t xml:space="preserve">by =</w:t>
      </w:r>
      <w:r>
        <w:rPr>
          <w:rStyle w:val="NormalTok"/>
        </w:rPr>
        <w:t xml:space="preserve"> </w:t>
      </w:r>
      <w:r>
        <w:rPr>
          <w:rStyle w:val="FunctionTok"/>
        </w:rPr>
        <w:t xml:space="preserve">join_by</w:t>
      </w:r>
      <w:r>
        <w:rPr>
          <w:rStyle w:val="NormalTok"/>
        </w:rPr>
        <w:t xml:space="preserve">(state)) </w:t>
      </w:r>
      <w:r>
        <w:rPr>
          <w:rStyle w:val="SpecialCharTok"/>
        </w:rPr>
        <w:t xml:space="preserve">|&gt;</w:t>
      </w:r>
      <w:r>
        <w:br/>
      </w:r>
      <w:r>
        <w:rPr>
          <w:rStyle w:val="NormalTok"/>
        </w:rPr>
        <w:t xml:space="preserve">  </w:t>
      </w:r>
      <w:r>
        <w:rPr>
          <w:rStyle w:val="CommentTok"/>
        </w:rPr>
        <w:t xml:space="preserve"># These values are stored as 1000s of dollars, so this scales them back up by</w:t>
      </w:r>
      <w:r>
        <w:br/>
      </w:r>
      <w:r>
        <w:rPr>
          <w:rStyle w:val="NormalTok"/>
        </w:rPr>
        <w:t xml:space="preserve">  </w:t>
      </w:r>
      <w:r>
        <w:rPr>
          <w:rStyle w:val="CommentTok"/>
        </w:rPr>
        <w:t xml:space="preserve"># multiplying them by 1000</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(raw, inf_adj, inf_adj_perchild), \(x) x </w:t>
      </w:r>
      <w:r>
        <w:rPr>
          <w:rStyle w:val="SpecialCharTok"/>
        </w:rPr>
        <w:t xml:space="preserve">*</w:t>
      </w:r>
      <w:r>
        <w:rPr>
          <w:rStyle w:val="NormalTok"/>
        </w:rPr>
        <w:t xml:space="preserve"> </w:t>
      </w:r>
      <w:r>
        <w:rPr>
          <w:rStyle w:val="DecValTok"/>
        </w:rPr>
        <w:t xml:space="preserve">1000</w:t>
      </w:r>
      <w:r>
        <w:rPr>
          <w:rStyle w:val="NormalTok"/>
        </w:rPr>
        <w:t xml:space="preserve">))</w:t>
      </w:r>
    </w:p>
    <w:bookmarkEnd w:id="25"/>
    <w:bookmarkStart w:id="29" w:name="histograms"/>
    <w:p>
      <w:pPr>
        <w:pStyle w:val="Heading2"/>
      </w:pPr>
      <w:r>
        <w:t xml:space="preserve">Histograms</w:t>
      </w:r>
    </w:p>
    <w:p>
      <w:pPr>
        <w:pStyle w:val="FirstParagraph"/>
      </w:pPr>
      <w:r>
        <w:t xml:space="preserve">Run the code chunk below to see a plot. It shows the distribution of</w:t>
      </w:r>
      <w:r>
        <w:t xml:space="preserve"> </w:t>
      </w:r>
      <w:r>
        <w:rPr>
          <w:b/>
          <w:bCs/>
        </w:rPr>
        <w:t xml:space="preserve">inflation-adjusted, per child spending</w:t>
      </w:r>
      <w:r>
        <w:t xml:space="preserve"> </w:t>
      </w:r>
      <w:r>
        <w:t xml:space="preserve">on</w:t>
      </w:r>
      <w:r>
        <w:t xml:space="preserve"> </w:t>
      </w:r>
      <w:r>
        <w:rPr>
          <w:b/>
          <w:bCs/>
        </w:rPr>
        <w:t xml:space="preserve">K-12 education</w:t>
      </w:r>
      <w:r>
        <w:t xml:space="preserve"> </w:t>
      </w:r>
      <w:r>
        <w:t xml:space="preserve">in</w:t>
      </w:r>
      <w:r>
        <w:t xml:space="preserve"> </w:t>
      </w:r>
      <w:r>
        <w:rPr>
          <w:b/>
          <w:bCs/>
        </w:rPr>
        <w:t xml:space="preserve">2010</w:t>
      </w:r>
      <w:r>
        <w:t xml:space="preserve"> </w:t>
      </w:r>
      <w:r>
        <w:t xml:space="preserve">across the four US Census regions.</w:t>
      </w:r>
    </w:p>
    <w:p>
      <w:pPr>
        <w:pStyle w:val="BodyText"/>
      </w:pPr>
      <w:r>
        <w:drawing>
          <wp:inline>
            <wp:extent cx="5334000" cy="3810000"/>
            <wp:effectExtent b="0" l="0" r="0" t="0"/>
            <wp:docPr descr="" title="" id="27" name="Picture"/>
            <a:graphic>
              <a:graphicData uri="http://schemas.openxmlformats.org/drawingml/2006/picture">
                <pic:pic>
                  <pic:nvPicPr>
                    <pic:cNvPr descr="images/recreate-me-1-1.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Use</w:t>
      </w:r>
      <w:r>
        <w:t xml:space="preserve"> </w:t>
      </w:r>
      <w:r>
        <w:rPr>
          <w:rStyle w:val="VerbatimChar"/>
        </w:rPr>
        <w:t xml:space="preserve">ggplot()</w:t>
      </w:r>
      <w:r>
        <w:t xml:space="preserve"> </w:t>
      </w:r>
      <w:r>
        <w:t xml:space="preserve">and</w:t>
      </w:r>
      <w:r>
        <w:t xml:space="preserve"> </w:t>
      </w:r>
      <w:r>
        <w:rPr>
          <w:rStyle w:val="VerbatimChar"/>
        </w:rPr>
        <w:t xml:space="preserve">geom_histogram()</w:t>
      </w:r>
      <w:r>
        <w:t xml:space="preserve"> </w:t>
      </w:r>
      <w:r>
        <w:t xml:space="preserve">in the chunk below to re-create the plot above using the</w:t>
      </w:r>
      <w:r>
        <w:t xml:space="preserve"> </w:t>
      </w:r>
      <w:r>
        <w:rPr>
          <w:rStyle w:val="VerbatimChar"/>
        </w:rPr>
        <w:t xml:space="preserve">kids</w:t>
      </w:r>
      <w:r>
        <w:t xml:space="preserve"> </w:t>
      </w:r>
      <w:r>
        <w:t xml:space="preserve">dataset.</w:t>
      </w:r>
      <w:r>
        <w:t xml:space="preserve"> </w:t>
      </w:r>
      <w:r>
        <w:rPr>
          <w:b/>
          <w:bCs/>
        </w:rPr>
        <w:t xml:space="preserve">Some hints</w:t>
      </w:r>
      <w:r>
        <w:t xml:space="preserve">:</w:t>
      </w:r>
    </w:p>
    <w:p>
      <w:pPr>
        <w:pStyle w:val="Compact"/>
        <w:numPr>
          <w:ilvl w:val="0"/>
          <w:numId w:val="1006"/>
        </w:numPr>
      </w:pPr>
      <w:r>
        <w:t xml:space="preserve">You’ll need to make a smaller filtered dataset first and then plot</w:t>
      </w:r>
      <w:r>
        <w:t xml:space="preserve"> </w:t>
      </w:r>
      <w:r>
        <w:rPr>
          <w:i/>
          <w:iCs/>
        </w:rPr>
        <w:t xml:space="preserve">that</w:t>
      </w:r>
      <w:r>
        <w:t xml:space="preserve">, just like you did with exercise 3 and 4.</w:t>
      </w:r>
    </w:p>
    <w:p>
      <w:pPr>
        <w:pStyle w:val="Compact"/>
        <w:numPr>
          <w:ilvl w:val="1"/>
          <w:numId w:val="1007"/>
        </w:numPr>
      </w:pPr>
      <w:r>
        <w:t xml:space="preserve">You’ll need to filter the data so it only includes rows for elementary and secondary education spending (</w:t>
      </w:r>
      <w:r>
        <w:rPr>
          <w:rStyle w:val="VerbatimChar"/>
        </w:rPr>
        <w:t xml:space="preserve">variable == "PK12ed"</w:t>
      </w:r>
      <w:r>
        <w:t xml:space="preserve">)</w:t>
      </w:r>
    </w:p>
    <w:p>
      <w:pPr>
        <w:pStyle w:val="Compact"/>
        <w:numPr>
          <w:ilvl w:val="1"/>
          <w:numId w:val="1007"/>
        </w:numPr>
      </w:pPr>
      <w:r>
        <w:t xml:space="preserve">You’ll need to filter the data so it only shows 2010 data</w:t>
      </w:r>
    </w:p>
    <w:p>
      <w:pPr>
        <w:pStyle w:val="Compact"/>
        <w:numPr>
          <w:ilvl w:val="0"/>
          <w:numId w:val="1006"/>
        </w:numPr>
      </w:pPr>
      <w:r>
        <w:t xml:space="preserve">You’ll need to facet by region and remove the legend</w:t>
      </w:r>
    </w:p>
    <w:p>
      <w:pPr>
        <w:pStyle w:val="Compact"/>
        <w:numPr>
          <w:ilvl w:val="0"/>
          <w:numId w:val="1006"/>
        </w:numPr>
      </w:pPr>
      <w:r>
        <w:t xml:space="preserve">You’ll need to choose a good binwidth (the image above uses $1,000 per bin)</w:t>
      </w:r>
    </w:p>
    <w:p>
      <w:pPr>
        <w:pStyle w:val="Compact"/>
        <w:numPr>
          <w:ilvl w:val="0"/>
          <w:numId w:val="1006"/>
        </w:numPr>
      </w:pPr>
      <w:r>
        <w:t xml:space="preserve">The image above uses</w:t>
      </w:r>
      <w:r>
        <w:t xml:space="preserve"> </w:t>
      </w:r>
      <w:r>
        <w:rPr>
          <w:rStyle w:val="VerbatimChar"/>
        </w:rPr>
        <w:t xml:space="preserve">theme_bw()</w:t>
      </w:r>
    </w:p>
    <w:p>
      <w:pPr>
        <w:pStyle w:val="SourceCode"/>
      </w:pPr>
      <w:r>
        <w:rPr>
          <w:rStyle w:val="CommentTok"/>
        </w:rPr>
        <w:t xml:space="preserve"># Do stuff here</w:t>
      </w:r>
    </w:p>
    <w:p>
      <w:pPr>
        <w:pStyle w:val="FirstParagraph"/>
      </w:pPr>
      <w:r>
        <w:rPr>
          <w:b/>
          <w:bCs/>
        </w:rPr>
        <w:t xml:space="preserve">Interpret this plot in a few sentences.</w:t>
      </w:r>
      <w:r>
        <w:t xml:space="preserve"> </w:t>
      </w:r>
      <w:r>
        <w:t xml:space="preserve">What does this show?</w:t>
      </w:r>
    </w:p>
    <w:p>
      <w:pPr>
        <w:pStyle w:val="BodyText"/>
      </w:pPr>
      <w:r>
        <w:t xml:space="preserve">DO THAT HERE</w:t>
      </w:r>
    </w:p>
    <w:bookmarkEnd w:id="29"/>
    <w:bookmarkStart w:id="33" w:name="densities"/>
    <w:p>
      <w:pPr>
        <w:pStyle w:val="Heading2"/>
      </w:pPr>
      <w:r>
        <w:t xml:space="preserve">Densities</w:t>
      </w:r>
    </w:p>
    <w:p>
      <w:pPr>
        <w:pStyle w:val="FirstParagraph"/>
      </w:pPr>
      <w:r>
        <w:t xml:space="preserve">Run the code chunk below to see a plot. It shows the distribution of</w:t>
      </w:r>
      <w:r>
        <w:t xml:space="preserve"> </w:t>
      </w:r>
      <w:r>
        <w:rPr>
          <w:b/>
          <w:bCs/>
        </w:rPr>
        <w:t xml:space="preserve">inflation-adjusted, per child spending</w:t>
      </w:r>
      <w:r>
        <w:t xml:space="preserve"> </w:t>
      </w:r>
      <w:r>
        <w:t xml:space="preserve">on</w:t>
      </w:r>
      <w:r>
        <w:t xml:space="preserve"> </w:t>
      </w:r>
      <w:r>
        <w:rPr>
          <w:b/>
          <w:bCs/>
        </w:rPr>
        <w:t xml:space="preserve">libraries</w:t>
      </w:r>
      <w:r>
        <w:t xml:space="preserve"> </w:t>
      </w:r>
      <w:r>
        <w:t xml:space="preserve">in</w:t>
      </w:r>
      <w:r>
        <w:t xml:space="preserve"> </w:t>
      </w:r>
      <w:r>
        <w:rPr>
          <w:b/>
          <w:bCs/>
        </w:rPr>
        <w:t xml:space="preserve">the Northeast and the South</w:t>
      </w:r>
      <w:r>
        <w:t xml:space="preserve"> </w:t>
      </w:r>
      <w:r>
        <w:t xml:space="preserve">from 1997 to 2016.</w:t>
      </w:r>
    </w:p>
    <w:p>
      <w:pPr>
        <w:pStyle w:val="BodyText"/>
      </w:pPr>
      <w:r>
        <w:drawing>
          <wp:inline>
            <wp:extent cx="5334000" cy="3810000"/>
            <wp:effectExtent b="0" l="0" r="0" t="0"/>
            <wp:docPr descr="" title="" id="31" name="Picture"/>
            <a:graphic>
              <a:graphicData uri="http://schemas.openxmlformats.org/drawingml/2006/picture">
                <pic:pic>
                  <pic:nvPicPr>
                    <pic:cNvPr descr="images/recreate-me-2-1.png" id="32" name="Picture"/>
                    <pic:cNvPicPr>
                      <a:picLocks noChangeArrowheads="1" noChangeAspect="1"/>
                    </pic:cNvPicPr>
                  </pic:nvPicPr>
                  <pic:blipFill>
                    <a:blip r:embed="rId30"/>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Use</w:t>
      </w:r>
      <w:r>
        <w:t xml:space="preserve"> </w:t>
      </w:r>
      <w:r>
        <w:rPr>
          <w:rStyle w:val="VerbatimChar"/>
        </w:rPr>
        <w:t xml:space="preserve">ggplot()</w:t>
      </w:r>
      <w:r>
        <w:t xml:space="preserve"> </w:t>
      </w:r>
      <w:r>
        <w:t xml:space="preserve">and</w:t>
      </w:r>
      <w:r>
        <w:t xml:space="preserve"> </w:t>
      </w:r>
      <w:r>
        <w:rPr>
          <w:rStyle w:val="VerbatimChar"/>
        </w:rPr>
        <w:t xml:space="preserve">geom_density_ridges()</w:t>
      </w:r>
      <w:r>
        <w:t xml:space="preserve"> </w:t>
      </w:r>
      <w:r>
        <w:t xml:space="preserve">in the chunk below to re-create the plot above using the</w:t>
      </w:r>
      <w:r>
        <w:t xml:space="preserve"> </w:t>
      </w:r>
      <w:r>
        <w:rPr>
          <w:rStyle w:val="VerbatimChar"/>
        </w:rPr>
        <w:t xml:space="preserve">kids</w:t>
      </w:r>
      <w:r>
        <w:t xml:space="preserve"> </w:t>
      </w:r>
      <w:r>
        <w:t xml:space="preserve">dataset.</w:t>
      </w:r>
      <w:r>
        <w:t xml:space="preserve"> </w:t>
      </w:r>
      <w:r>
        <w:rPr>
          <w:b/>
          <w:bCs/>
        </w:rPr>
        <w:t xml:space="preserve">Some hints</w:t>
      </w:r>
      <w:r>
        <w:t xml:space="preserve">:</w:t>
      </w:r>
    </w:p>
    <w:p>
      <w:pPr>
        <w:pStyle w:val="Compact"/>
        <w:numPr>
          <w:ilvl w:val="0"/>
          <w:numId w:val="1008"/>
        </w:numPr>
      </w:pPr>
      <w:r>
        <w:t xml:space="preserve">You’ll need to make a smaller filtered dataset first and then plot</w:t>
      </w:r>
      <w:r>
        <w:t xml:space="preserve"> </w:t>
      </w:r>
      <w:r>
        <w:rPr>
          <w:i/>
          <w:iCs/>
        </w:rPr>
        <w:t xml:space="preserve">that</w:t>
      </w:r>
      <w:r>
        <w:t xml:space="preserve">, just like you did with exercise 3 and 4.</w:t>
      </w:r>
    </w:p>
    <w:p>
      <w:pPr>
        <w:pStyle w:val="Compact"/>
        <w:numPr>
          <w:ilvl w:val="1"/>
          <w:numId w:val="1009"/>
        </w:numPr>
      </w:pPr>
      <w:r>
        <w:t xml:space="preserve">You’ll need to filter the data so it only includes rows for library spending (</w:t>
      </w:r>
      <w:r>
        <w:rPr>
          <w:rStyle w:val="VerbatimChar"/>
        </w:rPr>
        <w:t xml:space="preserve">variable == "lib"</w:t>
      </w:r>
      <w:r>
        <w:t xml:space="preserve">)</w:t>
      </w:r>
    </w:p>
    <w:p>
      <w:pPr>
        <w:pStyle w:val="Compact"/>
        <w:numPr>
          <w:ilvl w:val="1"/>
          <w:numId w:val="1009"/>
        </w:numPr>
      </w:pPr>
      <w:r>
        <w:t xml:space="preserve">You’ll need to filter the data so it only shows data for the south and northeast (</w:t>
      </w:r>
      <w:r>
        <w:rPr>
          <w:rStyle w:val="VerbatimChar"/>
        </w:rPr>
        <w:t xml:space="preserve">region %in% c("South", "Northeast")</w:t>
      </w:r>
      <w:r>
        <w:t xml:space="preserve">)</w:t>
      </w:r>
    </w:p>
    <w:p>
      <w:pPr>
        <w:pStyle w:val="Compact"/>
        <w:numPr>
          <w:ilvl w:val="0"/>
          <w:numId w:val="1008"/>
        </w:numPr>
      </w:pPr>
      <w:r>
        <w:t xml:space="preserve">You’ll need to facet by region and remove the legend</w:t>
      </w:r>
    </w:p>
    <w:p>
      <w:pPr>
        <w:pStyle w:val="Compact"/>
        <w:numPr>
          <w:ilvl w:val="0"/>
          <w:numId w:val="1008"/>
        </w:numPr>
      </w:pPr>
      <w:r>
        <w:t xml:space="preserve">If you use</w:t>
      </w:r>
      <w:r>
        <w:t xml:space="preserve"> </w:t>
      </w:r>
      <w:r>
        <w:rPr>
          <w:rStyle w:val="VerbatimChar"/>
        </w:rPr>
        <w:t xml:space="preserve">y = year</w:t>
      </w:r>
      <w:r>
        <w:t xml:space="preserve">, you’ll get an error.</w:t>
      </w:r>
      <w:r>
        <w:t xml:space="preserve"> </w:t>
      </w:r>
      <w:r>
        <w:rPr>
          <w:rStyle w:val="VerbatimChar"/>
        </w:rPr>
        <w:t xml:space="preserve">geom_density_ridges()</w:t>
      </w:r>
      <w:r>
        <w:t xml:space="preserve"> </w:t>
      </w:r>
      <w:r>
        <w:t xml:space="preserve">needs a categorical variable on the y-axis to work. You can convert</w:t>
      </w:r>
      <w:r>
        <w:t xml:space="preserve"> </w:t>
      </w:r>
      <w:r>
        <w:rPr>
          <w:rStyle w:val="VerbatimChar"/>
        </w:rPr>
        <w:t xml:space="preserve">year</w:t>
      </w:r>
      <w:r>
        <w:t xml:space="preserve"> </w:t>
      </w:r>
      <w:r>
        <w:t xml:space="preserve">to categorical by making it a</w:t>
      </w:r>
      <w:r>
        <w:t xml:space="preserve"> </w:t>
      </w:r>
      <w:r>
        <w:rPr>
          <w:i/>
          <w:iCs/>
        </w:rPr>
        <w:t xml:space="preserve">factor</w:t>
      </w:r>
      <w:r>
        <w:t xml:space="preserve"> </w:t>
      </w:r>
      <w:r>
        <w:t xml:space="preserve">(what R calls categorical variables). You can do that inside</w:t>
      </w:r>
      <w:r>
        <w:t xml:space="preserve"> </w:t>
      </w:r>
      <w:r>
        <w:rPr>
          <w:rStyle w:val="VerbatimChar"/>
        </w:rPr>
        <w:t xml:space="preserve">aes()</w:t>
      </w:r>
      <w:r>
        <w:t xml:space="preserve">, like</w:t>
      </w:r>
      <w:r>
        <w:t xml:space="preserve"> </w:t>
      </w:r>
      <w:r>
        <w:rPr>
          <w:rStyle w:val="VerbatimChar"/>
        </w:rPr>
        <w:t xml:space="preserve">aes(..., y = factor(year))</w:t>
      </w:r>
      <w:r>
        <w:t xml:space="preserve">.</w:t>
      </w:r>
    </w:p>
    <w:p>
      <w:pPr>
        <w:pStyle w:val="Compact"/>
        <w:numPr>
          <w:ilvl w:val="0"/>
          <w:numId w:val="1008"/>
        </w:numPr>
      </w:pPr>
      <w:r>
        <w:t xml:space="preserve">Add a white border to</w:t>
      </w:r>
      <w:r>
        <w:t xml:space="preserve"> </w:t>
      </w:r>
      <w:r>
        <w:rPr>
          <w:rStyle w:val="VerbatimChar"/>
        </w:rPr>
        <w:t xml:space="preserve">geom_density_ridges()</w:t>
      </w:r>
    </w:p>
    <w:p>
      <w:pPr>
        <w:pStyle w:val="Compact"/>
        <w:numPr>
          <w:ilvl w:val="0"/>
          <w:numId w:val="1008"/>
        </w:numPr>
      </w:pPr>
      <w:r>
        <w:t xml:space="preserve">The image above uses</w:t>
      </w:r>
      <w:r>
        <w:t xml:space="preserve"> </w:t>
      </w:r>
      <w:r>
        <w:rPr>
          <w:rStyle w:val="VerbatimChar"/>
        </w:rPr>
        <w:t xml:space="preserve">theme_light()</w:t>
      </w:r>
      <w:r>
        <w:t xml:space="preserve"> </w:t>
      </w:r>
      <w:r>
        <w:t xml:space="preserve">and it uses</w:t>
      </w:r>
      <w:r>
        <w:t xml:space="preserve"> </w:t>
      </w:r>
      <w:r>
        <w:rPr>
          <w:rStyle w:val="VerbatimChar"/>
        </w:rPr>
        <w:t xml:space="preserve">theme()</w:t>
      </w:r>
      <w:r>
        <w:t xml:space="preserve"> </w:t>
      </w:r>
      <w:r>
        <w:t xml:space="preserve">to disable the major y-axis gridlines (</w:t>
      </w:r>
      <w:r>
        <w:rPr>
          <w:rStyle w:val="VerbatimChar"/>
        </w:rPr>
        <w:t xml:space="preserve">panel.grid.major.y = element_blank()</w:t>
      </w:r>
      <w:r>
        <w:t xml:space="preserve">)</w:t>
      </w:r>
    </w:p>
    <w:p>
      <w:pPr>
        <w:pStyle w:val="SourceCode"/>
      </w:pPr>
      <w:r>
        <w:rPr>
          <w:rStyle w:val="CommentTok"/>
        </w:rPr>
        <w:t xml:space="preserve"># Do stuff here</w:t>
      </w:r>
    </w:p>
    <w:p>
      <w:pPr>
        <w:pStyle w:val="FirstParagraph"/>
      </w:pPr>
      <w:r>
        <w:rPr>
          <w:b/>
          <w:bCs/>
        </w:rPr>
        <w:t xml:space="preserve">Interpret this plot in a few sentences.</w:t>
      </w:r>
      <w:r>
        <w:t xml:space="preserve"> </w:t>
      </w:r>
      <w:r>
        <w:t xml:space="preserve">What does this show?</w:t>
      </w:r>
    </w:p>
    <w:p>
      <w:pPr>
        <w:pStyle w:val="BodyText"/>
      </w:pPr>
      <w:r>
        <w:t xml:space="preserve">DO THAT HERE</w:t>
      </w:r>
    </w:p>
    <w:bookmarkEnd w:id="33"/>
    <w:bookmarkStart w:id="37" w:name="boxes-violins-and-friends"/>
    <w:p>
      <w:pPr>
        <w:pStyle w:val="Heading2"/>
      </w:pPr>
      <w:r>
        <w:t xml:space="preserve">Boxes, violins, and friends</w:t>
      </w:r>
    </w:p>
    <w:p>
      <w:pPr>
        <w:pStyle w:val="FirstParagraph"/>
      </w:pPr>
      <w:r>
        <w:t xml:space="preserve">Run the code chunk below to see a plot. It shows the distribution of</w:t>
      </w:r>
      <w:r>
        <w:t xml:space="preserve"> </w:t>
      </w:r>
      <w:r>
        <w:rPr>
          <w:b/>
          <w:bCs/>
        </w:rPr>
        <w:t xml:space="preserve">inflation-adjusted, per child spending</w:t>
      </w:r>
      <w:r>
        <w:t xml:space="preserve"> </w:t>
      </w:r>
      <w:r>
        <w:t xml:space="preserve">on</w:t>
      </w:r>
      <w:r>
        <w:t xml:space="preserve"> </w:t>
      </w:r>
      <w:r>
        <w:rPr>
          <w:b/>
          <w:bCs/>
        </w:rPr>
        <w:t xml:space="preserve">SNAP</w:t>
      </w:r>
      <w:r>
        <w:t xml:space="preserve"> </w:t>
      </w:r>
      <w:r>
        <w:t xml:space="preserve">in</w:t>
      </w:r>
      <w:r>
        <w:t xml:space="preserve"> </w:t>
      </w:r>
      <w:r>
        <w:rPr>
          <w:b/>
          <w:bCs/>
        </w:rPr>
        <w:t xml:space="preserve">2016</w:t>
      </w:r>
      <w:r>
        <w:t xml:space="preserve"> </w:t>
      </w:r>
      <w:r>
        <w:t xml:space="preserve">across all four US census regions.</w:t>
      </w:r>
    </w:p>
    <w:p>
      <w:pPr>
        <w:pStyle w:val="BodyText"/>
      </w:pPr>
      <w:r>
        <w:drawing>
          <wp:inline>
            <wp:extent cx="5334000" cy="3810000"/>
            <wp:effectExtent b="0" l="0" r="0" t="0"/>
            <wp:docPr descr="" title="" id="35" name="Picture"/>
            <a:graphic>
              <a:graphicData uri="http://schemas.openxmlformats.org/drawingml/2006/picture">
                <pic:pic>
                  <pic:nvPicPr>
                    <pic:cNvPr descr="images/recreate-me-3-1.png" id="36" name="Picture"/>
                    <pic:cNvPicPr>
                      <a:picLocks noChangeArrowheads="1" noChangeAspect="1"/>
                    </pic:cNvPicPr>
                  </pic:nvPicPr>
                  <pic:blipFill>
                    <a:blip r:embed="rId34"/>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Use</w:t>
      </w:r>
      <w:r>
        <w:t xml:space="preserve"> </w:t>
      </w:r>
      <w:r>
        <w:rPr>
          <w:rStyle w:val="VerbatimChar"/>
        </w:rPr>
        <w:t xml:space="preserve">ggplot()</w:t>
      </w:r>
      <w:r>
        <w:t xml:space="preserve"> </w:t>
      </w:r>
      <w:r>
        <w:t xml:space="preserve">and</w:t>
      </w:r>
      <w:r>
        <w:t xml:space="preserve"> </w:t>
      </w:r>
      <w:r>
        <w:rPr>
          <w:rStyle w:val="VerbatimChar"/>
        </w:rPr>
        <w:t xml:space="preserve">geom_half_point()</w:t>
      </w:r>
      <w:r>
        <w:t xml:space="preserve"> </w:t>
      </w:r>
      <w:r>
        <w:t xml:space="preserve">and</w:t>
      </w:r>
      <w:r>
        <w:t xml:space="preserve"> </w:t>
      </w:r>
      <w:r>
        <w:rPr>
          <w:rStyle w:val="VerbatimChar"/>
        </w:rPr>
        <w:t xml:space="preserve">geom_half_violin()</w:t>
      </w:r>
      <w:r>
        <w:t xml:space="preserve"> </w:t>
      </w:r>
      <w:r>
        <w:t xml:space="preserve">in the chunk below to re-create the plot above using the</w:t>
      </w:r>
      <w:r>
        <w:t xml:space="preserve"> </w:t>
      </w:r>
      <w:r>
        <w:rPr>
          <w:rStyle w:val="VerbatimChar"/>
        </w:rPr>
        <w:t xml:space="preserve">kids</w:t>
      </w:r>
      <w:r>
        <w:t xml:space="preserve"> </w:t>
      </w:r>
      <w:r>
        <w:t xml:space="preserve">dataset.</w:t>
      </w:r>
      <w:r>
        <w:t xml:space="preserve"> </w:t>
      </w:r>
      <w:r>
        <w:rPr>
          <w:b/>
          <w:bCs/>
        </w:rPr>
        <w:t xml:space="preserve">Some hints</w:t>
      </w:r>
      <w:r>
        <w:t xml:space="preserve">:</w:t>
      </w:r>
    </w:p>
    <w:p>
      <w:pPr>
        <w:pStyle w:val="Compact"/>
        <w:numPr>
          <w:ilvl w:val="0"/>
          <w:numId w:val="1010"/>
        </w:numPr>
      </w:pPr>
      <w:r>
        <w:t xml:space="preserve">You’ll need to make a smaller filtered dataset first and then plot</w:t>
      </w:r>
      <w:r>
        <w:t xml:space="preserve"> </w:t>
      </w:r>
      <w:r>
        <w:rPr>
          <w:i/>
          <w:iCs/>
        </w:rPr>
        <w:t xml:space="preserve">that</w:t>
      </w:r>
      <w:r>
        <w:t xml:space="preserve">, just like you did with exercise 3 and 4.</w:t>
      </w:r>
    </w:p>
    <w:p>
      <w:pPr>
        <w:pStyle w:val="Compact"/>
        <w:numPr>
          <w:ilvl w:val="1"/>
          <w:numId w:val="1011"/>
        </w:numPr>
      </w:pPr>
      <w:r>
        <w:t xml:space="preserve">You’ll need to filter the data so it only includes rows for SNAP spending (</w:t>
      </w:r>
      <w:r>
        <w:rPr>
          <w:rStyle w:val="VerbatimChar"/>
        </w:rPr>
        <w:t xml:space="preserve">variable == "SNAP"</w:t>
      </w:r>
      <w:r>
        <w:t xml:space="preserve">)</w:t>
      </w:r>
    </w:p>
    <w:p>
      <w:pPr>
        <w:pStyle w:val="Compact"/>
        <w:numPr>
          <w:ilvl w:val="1"/>
          <w:numId w:val="1011"/>
        </w:numPr>
      </w:pPr>
      <w:r>
        <w:t xml:space="preserve">You’ll need to filter the data so it only shows data for 2016</w:t>
      </w:r>
    </w:p>
    <w:p>
      <w:pPr>
        <w:pStyle w:val="Compact"/>
        <w:numPr>
          <w:ilvl w:val="0"/>
          <w:numId w:val="1010"/>
        </w:numPr>
      </w:pPr>
      <w:r>
        <w:t xml:space="preserve">You’ll need to facet by region and remove the legend</w:t>
      </w:r>
    </w:p>
    <w:p>
      <w:pPr>
        <w:pStyle w:val="Compact"/>
        <w:numPr>
          <w:ilvl w:val="0"/>
          <w:numId w:val="1010"/>
        </w:numPr>
      </w:pPr>
      <w:r>
        <w:t xml:space="preserve">The image above uses</w:t>
      </w:r>
      <w:r>
        <w:t xml:space="preserve"> </w:t>
      </w:r>
      <w:r>
        <w:rPr>
          <w:rStyle w:val="VerbatimChar"/>
        </w:rPr>
        <w:t xml:space="preserve">theme_minimal()</w:t>
      </w:r>
    </w:p>
    <w:p>
      <w:pPr>
        <w:pStyle w:val="SourceCode"/>
      </w:pPr>
      <w:r>
        <w:rPr>
          <w:rStyle w:val="CommentTok"/>
        </w:rPr>
        <w:t xml:space="preserve"># Do stuff here</w:t>
      </w:r>
    </w:p>
    <w:p>
      <w:pPr>
        <w:pStyle w:val="FirstParagraph"/>
      </w:pPr>
      <w:r>
        <w:rPr>
          <w:b/>
          <w:bCs/>
        </w:rPr>
        <w:t xml:space="preserve">Interpret this plot in a few sentences.</w:t>
      </w:r>
      <w:r>
        <w:t xml:space="preserve"> </w:t>
      </w:r>
      <w:r>
        <w:t xml:space="preserve">What does this show?</w:t>
      </w:r>
    </w:p>
    <w:p>
      <w:pPr>
        <w:pStyle w:val="BodyText"/>
      </w:pPr>
      <w:r>
        <w:t xml:space="preserve">DO THAT HERE</w:t>
      </w:r>
    </w:p>
    <w:bookmarkEnd w:id="37"/>
    <w:bookmarkEnd w:id="38"/>
    <w:bookmarkStart w:id="39" w:name="task-3-extension"/>
    <w:p>
      <w:pPr>
        <w:pStyle w:val="Heading1"/>
      </w:pPr>
      <w:r>
        <w:t xml:space="preserve">Task 3: Extension</w:t>
      </w:r>
    </w:p>
    <w:p>
      <w:pPr>
        <w:pStyle w:val="FirstParagraph"/>
      </w:pPr>
      <w:r>
        <w:t xml:space="preserve">Copy the code for one of your plots above and paste it into the chunk below. Do some extra things to it, like using a different variable (there are lots of them!), filtering for a specific region or division, looking at different years, changing the labels, changing the colors, adding a new geom, changing the theme, or whatever.</w:t>
      </w:r>
      <w:r>
        <w:t xml:space="preserve"> </w:t>
      </w:r>
      <w:r>
        <w:rPr>
          <w:b/>
          <w:bCs/>
        </w:rPr>
        <w:t xml:space="preserve">This is your chance to play around and explore.</w:t>
      </w:r>
    </w:p>
    <w:p>
      <w:pPr>
        <w:pStyle w:val="SourceCode"/>
      </w:pPr>
      <w:r>
        <w:rPr>
          <w:rStyle w:val="CommentTok"/>
        </w:rPr>
        <w:t xml:space="preserve"># Do stuff here</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hyperlink" Id="rId43" Target="%7B%7B%3C%20var%20course.github%20%3E%7D%7D" TargetMode="External" /><Relationship Type="http://schemas.openxmlformats.org/officeDocument/2006/relationships/hyperlink" Id="rId21" Target="https://datacatalog.urban.org/dataset/state-state-spending-kids-dataset" TargetMode="External" /><Relationship Type="http://schemas.openxmlformats.org/officeDocument/2006/relationships/hyperlink" Id="rId41" Target="https://datavizsp26.classes.andrewheiss.com/" TargetMode="External" /><Relationship Type="http://schemas.openxmlformats.org/officeDocument/2006/relationships/hyperlink" Id="rId24" Target="https://en.wikipedia.org/wiki/List_of_regions_of_the_United_States" TargetMode="External" /><Relationship Type="http://schemas.openxmlformats.org/officeDocument/2006/relationships/hyperlink" Id="rId22" Target="https://github.com/rfordatascience/tidytuesday/tree/main/data/2020/2020-09-15" TargetMode="External" /><Relationship Type="http://schemas.openxmlformats.org/officeDocument/2006/relationships/hyperlink" Id="rId23" Target="https://jrosen48.github.io/tidykids/articles/tidykids-codebook.html" TargetMode="External" /><Relationship Type="http://schemas.openxmlformats.org/officeDocument/2006/relationships/hyperlink" Id="rId42" Target="https://quarto.org/" TargetMode="External" /><Relationship Type="http://schemas.openxmlformats.org/officeDocument/2006/relationships/hyperlink" Id="rId40" Target="your_url" TargetMode="External" /></Relationships>
</file>

<file path=word/_rels/footnotes.xml.rels><?xml version="1.0" encoding="UTF-8"?><Relationships xmlns="http://schemas.openxmlformats.org/package/2006/relationships"><Relationship Type="http://schemas.openxmlformats.org/officeDocument/2006/relationships/hyperlink" Id="rId43" Target="%7B%7B%3C%20var%20course.github%20%3E%7D%7D" TargetMode="External" /><Relationship Type="http://schemas.openxmlformats.org/officeDocument/2006/relationships/hyperlink" Id="rId21" Target="https://datacatalog.urban.org/dataset/state-state-spending-kids-dataset" TargetMode="External" /><Relationship Type="http://schemas.openxmlformats.org/officeDocument/2006/relationships/hyperlink" Id="rId41" Target="https://datavizsp26.classes.andrewheiss.com/" TargetMode="External" /><Relationship Type="http://schemas.openxmlformats.org/officeDocument/2006/relationships/hyperlink" Id="rId24" Target="https://en.wikipedia.org/wiki/List_of_regions_of_the_United_States" TargetMode="External" /><Relationship Type="http://schemas.openxmlformats.org/officeDocument/2006/relationships/hyperlink" Id="rId22" Target="https://github.com/rfordatascience/tidytuesday/tree/main/data/2020/2020-09-15" TargetMode="External" /><Relationship Type="http://schemas.openxmlformats.org/officeDocument/2006/relationships/hyperlink" Id="rId23" Target="https://jrosen48.github.io/tidykids/articles/tidykids-codebook.html" TargetMode="External" /><Relationship Type="http://schemas.openxmlformats.org/officeDocument/2006/relationships/hyperlink" Id="rId42" Target="https://quarto.org/" TargetMode="External" /><Relationship Type="http://schemas.openxmlformats.org/officeDocument/2006/relationships/hyperlink" Id="rId40" Target="your_ur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dc:title>
  <dc:creator>YOUR NAME HERE</dc:creator>
  <cp:keywords/>
  <dcterms:created xsi:type="dcterms:W3CDTF">2026-03-04T09:26:07Z</dcterms:created>
  <dcterms:modified xsi:type="dcterms:W3CDTF">2026-03-04T09:26:07Z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../../files/bib/chicago-author-date.csl</vt:lpwstr>
  </property>
  <property fmtid="{D5CDD505-2E9C-101B-9397-08002B2CF9AE}" pid="8" name="date">
    <vt:lpwstr>Invalid Date</vt:lpwstr>
  </property>
  <property fmtid="{D5CDD505-2E9C-101B-9397-08002B2CF9AE}" pid="9" name="date-format">
    <vt:lpwstr>long</vt:lpwstr>
  </property>
  <property fmtid="{D5CDD505-2E9C-101B-9397-08002B2CF9AE}" pid="10" name="draft-mode">
    <vt:lpwstr>unlinked</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age-footer">
    <vt:lpwstr/>
  </property>
  <property fmtid="{D5CDD505-2E9C-101B-9397-08002B2CF9AE}" pid="16" name="subtitle">
    <vt:lpwstr>Exercise 6 — ISS dataviz, Spring 2026</vt:lpwstr>
  </property>
  <property fmtid="{D5CDD505-2E9C-101B-9397-08002B2CF9AE}" pid="17" name="toc-title">
    <vt:lpwstr>Table of contents</vt:lpwstr>
  </property>
</Properties>
</file>