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7D3A2" w14:textId="77777777" w:rsidR="0079560F" w:rsidRDefault="0079560F">
      <w:pPr>
        <w:spacing w:line="240" w:lineRule="auto"/>
        <w:jc w:val="center"/>
        <w:rPr>
          <w:rFonts w:ascii="Times New Roman" w:eastAsia="Times New Roman" w:hAnsi="Times New Roman" w:cs="Times New Roman"/>
          <w:b/>
          <w:sz w:val="40"/>
          <w:szCs w:val="40"/>
        </w:rPr>
      </w:pPr>
    </w:p>
    <w:p w14:paraId="077ED841" w14:textId="77777777" w:rsidR="0079560F" w:rsidRDefault="00B40299">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5B9ABE5A" wp14:editId="5A8566F3">
            <wp:extent cx="3481388" cy="1654521"/>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12616" t="20551" r="12616" b="20300"/>
                    <a:stretch>
                      <a:fillRect/>
                    </a:stretch>
                  </pic:blipFill>
                  <pic:spPr>
                    <a:xfrm>
                      <a:off x="0" y="0"/>
                      <a:ext cx="3481388" cy="1654521"/>
                    </a:xfrm>
                    <a:prstGeom prst="rect">
                      <a:avLst/>
                    </a:prstGeom>
                    <a:ln/>
                  </pic:spPr>
                </pic:pic>
              </a:graphicData>
            </a:graphic>
          </wp:inline>
        </w:drawing>
      </w:r>
    </w:p>
    <w:p w14:paraId="283AE665" w14:textId="77777777" w:rsidR="0079560F" w:rsidRDefault="0079560F">
      <w:pPr>
        <w:spacing w:line="240" w:lineRule="auto"/>
        <w:jc w:val="center"/>
        <w:rPr>
          <w:rFonts w:ascii="Times New Roman" w:eastAsia="Times New Roman" w:hAnsi="Times New Roman" w:cs="Times New Roman"/>
          <w:b/>
          <w:sz w:val="28"/>
          <w:szCs w:val="28"/>
        </w:rPr>
      </w:pPr>
    </w:p>
    <w:p w14:paraId="76A56DAE" w14:textId="77777777" w:rsidR="0079560F" w:rsidRDefault="0079560F">
      <w:pPr>
        <w:spacing w:line="240" w:lineRule="auto"/>
        <w:jc w:val="center"/>
        <w:rPr>
          <w:rFonts w:ascii="Times New Roman" w:eastAsia="Times New Roman" w:hAnsi="Times New Roman" w:cs="Times New Roman"/>
          <w:b/>
          <w:sz w:val="28"/>
          <w:szCs w:val="28"/>
        </w:rPr>
      </w:pPr>
    </w:p>
    <w:p w14:paraId="436DA6DE" w14:textId="77777777" w:rsidR="0079560F" w:rsidRDefault="00B4029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BT4016 Risk Analytics for Financial Services</w:t>
      </w:r>
    </w:p>
    <w:p w14:paraId="60A779D3" w14:textId="77777777" w:rsidR="0079560F" w:rsidRDefault="00B4029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1 AY 20/21</w:t>
      </w:r>
    </w:p>
    <w:p w14:paraId="13F97211" w14:textId="77777777" w:rsidR="0079560F" w:rsidRDefault="0079560F">
      <w:pPr>
        <w:spacing w:line="240" w:lineRule="auto"/>
        <w:jc w:val="center"/>
        <w:rPr>
          <w:rFonts w:ascii="Times New Roman" w:eastAsia="Times New Roman" w:hAnsi="Times New Roman" w:cs="Times New Roman"/>
          <w:b/>
          <w:sz w:val="28"/>
          <w:szCs w:val="28"/>
        </w:rPr>
      </w:pPr>
    </w:p>
    <w:p w14:paraId="6399A48E" w14:textId="77777777" w:rsidR="0079560F" w:rsidRDefault="0079560F">
      <w:pPr>
        <w:spacing w:line="240" w:lineRule="auto"/>
        <w:jc w:val="center"/>
        <w:rPr>
          <w:rFonts w:ascii="Times New Roman" w:eastAsia="Times New Roman" w:hAnsi="Times New Roman" w:cs="Times New Roman"/>
          <w:b/>
          <w:sz w:val="28"/>
          <w:szCs w:val="28"/>
        </w:rPr>
      </w:pPr>
    </w:p>
    <w:p w14:paraId="184AC623" w14:textId="77777777" w:rsidR="0079560F" w:rsidRDefault="00B4029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Portfolio Risk Management Project</w:t>
      </w:r>
    </w:p>
    <w:p w14:paraId="079FEB6F" w14:textId="77777777" w:rsidR="0079560F" w:rsidRDefault="00B40299">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Report</w:t>
      </w:r>
    </w:p>
    <w:p w14:paraId="1D17B614" w14:textId="77777777" w:rsidR="0079560F" w:rsidRDefault="00B40299">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Group 10</w:t>
      </w:r>
    </w:p>
    <w:p w14:paraId="31B0CBF2" w14:textId="77777777" w:rsidR="0079560F" w:rsidRDefault="0079560F">
      <w:pPr>
        <w:spacing w:line="240" w:lineRule="auto"/>
        <w:jc w:val="center"/>
        <w:rPr>
          <w:rFonts w:ascii="Times New Roman" w:eastAsia="Times New Roman" w:hAnsi="Times New Roman" w:cs="Times New Roman"/>
          <w:sz w:val="24"/>
          <w:szCs w:val="24"/>
        </w:rPr>
      </w:pPr>
    </w:p>
    <w:p w14:paraId="668CE2F8" w14:textId="77777777" w:rsidR="0079560F" w:rsidRDefault="0079560F">
      <w:pPr>
        <w:spacing w:line="240" w:lineRule="auto"/>
        <w:jc w:val="center"/>
        <w:rPr>
          <w:rFonts w:ascii="Times New Roman" w:eastAsia="Times New Roman" w:hAnsi="Times New Roman" w:cs="Times New Roman"/>
          <w:sz w:val="24"/>
          <w:szCs w:val="24"/>
        </w:rPr>
      </w:pPr>
    </w:p>
    <w:p w14:paraId="45EC3F0D" w14:textId="77777777" w:rsidR="0079560F" w:rsidRDefault="0079560F">
      <w:pPr>
        <w:spacing w:line="240" w:lineRule="auto"/>
        <w:jc w:val="center"/>
        <w:rPr>
          <w:rFonts w:ascii="Times New Roman" w:eastAsia="Times New Roman" w:hAnsi="Times New Roman" w:cs="Times New Roman"/>
          <w:sz w:val="24"/>
          <w:szCs w:val="24"/>
        </w:rPr>
      </w:pPr>
    </w:p>
    <w:p w14:paraId="133BB256" w14:textId="77777777" w:rsidR="0079560F" w:rsidRDefault="0079560F">
      <w:pPr>
        <w:spacing w:line="240" w:lineRule="auto"/>
        <w:jc w:val="center"/>
        <w:rPr>
          <w:rFonts w:ascii="Times New Roman" w:eastAsia="Times New Roman" w:hAnsi="Times New Roman" w:cs="Times New Roman"/>
          <w:sz w:val="24"/>
          <w:szCs w:val="24"/>
        </w:rPr>
      </w:pPr>
    </w:p>
    <w:p w14:paraId="74355432" w14:textId="77777777" w:rsidR="0079560F" w:rsidRDefault="00B4029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14:paraId="3CEC02E4" w14:textId="77777777" w:rsidR="0079560F" w:rsidRDefault="00B4029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Chew En Ren Janson (A0183927R)</w:t>
      </w:r>
    </w:p>
    <w:p w14:paraId="4537C111" w14:textId="77777777" w:rsidR="0079560F" w:rsidRDefault="00B4029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 Ying Rong (A0188843M)</w:t>
      </w:r>
    </w:p>
    <w:p w14:paraId="06F673A9" w14:textId="77777777" w:rsidR="0079560F" w:rsidRDefault="00B4029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Koh Kai </w:t>
      </w:r>
      <w:proofErr w:type="spellStart"/>
      <w:r>
        <w:rPr>
          <w:rFonts w:ascii="Times New Roman" w:eastAsia="Times New Roman" w:hAnsi="Times New Roman" w:cs="Times New Roman"/>
          <w:sz w:val="24"/>
          <w:szCs w:val="24"/>
        </w:rPr>
        <w:t>Jie</w:t>
      </w:r>
      <w:proofErr w:type="spellEnd"/>
      <w:r>
        <w:rPr>
          <w:rFonts w:ascii="Times New Roman" w:eastAsia="Times New Roman" w:hAnsi="Times New Roman" w:cs="Times New Roman"/>
          <w:sz w:val="24"/>
          <w:szCs w:val="24"/>
        </w:rPr>
        <w:t xml:space="preserve"> Bryan (A0183858L)</w:t>
      </w:r>
    </w:p>
    <w:p w14:paraId="37BFBCA3" w14:textId="77777777" w:rsidR="0079560F" w:rsidRDefault="00B4029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 Jermaine (A0187866E)</w:t>
      </w:r>
    </w:p>
    <w:p w14:paraId="51B4936E" w14:textId="77777777" w:rsidR="0079560F" w:rsidRDefault="00B4029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Timothy Lim Shyen En (A0167597H)</w:t>
      </w:r>
    </w:p>
    <w:p w14:paraId="1788B11D" w14:textId="77777777" w:rsidR="0079560F" w:rsidRDefault="0079560F">
      <w:pPr>
        <w:rPr>
          <w:rFonts w:ascii="Times New Roman" w:eastAsia="Times New Roman" w:hAnsi="Times New Roman" w:cs="Times New Roman"/>
          <w:b/>
          <w:sz w:val="36"/>
          <w:szCs w:val="36"/>
          <w:u w:val="single"/>
        </w:rPr>
      </w:pPr>
    </w:p>
    <w:p w14:paraId="71FF6A51" w14:textId="77777777" w:rsidR="0079560F" w:rsidRDefault="0079560F">
      <w:pPr>
        <w:rPr>
          <w:rFonts w:ascii="Times New Roman" w:eastAsia="Times New Roman" w:hAnsi="Times New Roman" w:cs="Times New Roman"/>
          <w:b/>
          <w:sz w:val="36"/>
          <w:szCs w:val="36"/>
          <w:u w:val="single"/>
        </w:rPr>
      </w:pPr>
    </w:p>
    <w:p w14:paraId="6E9E9BE3" w14:textId="77777777" w:rsidR="0079560F" w:rsidRDefault="0079560F">
      <w:pPr>
        <w:rPr>
          <w:rFonts w:ascii="Times New Roman" w:eastAsia="Times New Roman" w:hAnsi="Times New Roman" w:cs="Times New Roman"/>
          <w:b/>
          <w:sz w:val="36"/>
          <w:szCs w:val="36"/>
          <w:u w:val="single"/>
        </w:rPr>
      </w:pPr>
    </w:p>
    <w:p w14:paraId="55CF340C" w14:textId="77777777" w:rsidR="0079560F" w:rsidRDefault="0079560F">
      <w:pPr>
        <w:rPr>
          <w:rFonts w:ascii="Times New Roman" w:eastAsia="Times New Roman" w:hAnsi="Times New Roman" w:cs="Times New Roman"/>
          <w:b/>
          <w:sz w:val="36"/>
          <w:szCs w:val="36"/>
          <w:u w:val="single"/>
        </w:rPr>
      </w:pPr>
    </w:p>
    <w:p w14:paraId="090C8F72" w14:textId="77777777" w:rsidR="0079560F" w:rsidRDefault="0079560F">
      <w:pPr>
        <w:rPr>
          <w:rFonts w:ascii="Times New Roman" w:eastAsia="Times New Roman" w:hAnsi="Times New Roman" w:cs="Times New Roman"/>
          <w:b/>
          <w:sz w:val="36"/>
          <w:szCs w:val="36"/>
          <w:u w:val="single"/>
        </w:rPr>
      </w:pPr>
    </w:p>
    <w:p w14:paraId="41E7CF26" w14:textId="77777777" w:rsidR="0079560F" w:rsidRDefault="0079560F">
      <w:pPr>
        <w:rPr>
          <w:rFonts w:ascii="Times New Roman" w:eastAsia="Times New Roman" w:hAnsi="Times New Roman" w:cs="Times New Roman"/>
          <w:b/>
          <w:sz w:val="36"/>
          <w:szCs w:val="36"/>
          <w:u w:val="single"/>
        </w:rPr>
      </w:pPr>
    </w:p>
    <w:p w14:paraId="7502AA43" w14:textId="77777777" w:rsidR="0079560F" w:rsidRDefault="0079560F">
      <w:pPr>
        <w:rPr>
          <w:rFonts w:ascii="Times New Roman" w:eastAsia="Times New Roman" w:hAnsi="Times New Roman" w:cs="Times New Roman"/>
          <w:b/>
          <w:sz w:val="36"/>
          <w:szCs w:val="36"/>
          <w:u w:val="single"/>
        </w:rPr>
      </w:pPr>
    </w:p>
    <w:p w14:paraId="024AB4CB" w14:textId="77777777" w:rsidR="0079560F" w:rsidRDefault="0079560F">
      <w:pPr>
        <w:ind w:left="720"/>
      </w:pPr>
    </w:p>
    <w:p w14:paraId="07068B51" w14:textId="77777777" w:rsidR="0079560F" w:rsidRDefault="0079560F">
      <w:pPr>
        <w:ind w:left="720"/>
      </w:pPr>
    </w:p>
    <w:p w14:paraId="211B656B"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lastRenderedPageBreak/>
        <w:t>This report documents the methods our group applied to attempt to improve our portfolio’s performance. The report is structured in the following manner. First, we discuss the performance of the various portfolios from January to October 2020. Next, we expl</w:t>
      </w:r>
      <w:r>
        <w:rPr>
          <w:rFonts w:ascii="Times New Roman" w:eastAsia="Times New Roman" w:hAnsi="Times New Roman" w:cs="Times New Roman"/>
        </w:rPr>
        <w:t xml:space="preserve">ore using options as a cross-hedging strategy to limit the downside risk of our portfolio. Finally, we present a machine learning method to forecast future alpha values of assets and its applications to portfolio management. </w:t>
      </w:r>
    </w:p>
    <w:p w14:paraId="330E6CD0" w14:textId="77777777" w:rsidR="0079560F" w:rsidRDefault="0079560F">
      <w:pPr>
        <w:rPr>
          <w:rFonts w:ascii="Times New Roman" w:eastAsia="Times New Roman" w:hAnsi="Times New Roman" w:cs="Times New Roman"/>
        </w:rPr>
      </w:pPr>
    </w:p>
    <w:p w14:paraId="4B7145EF" w14:textId="77777777" w:rsidR="0079560F" w:rsidRDefault="00B40299">
      <w:pPr>
        <w:rPr>
          <w:rFonts w:ascii="Times New Roman" w:eastAsia="Times New Roman" w:hAnsi="Times New Roman" w:cs="Times New Roman"/>
          <w:b/>
        </w:rPr>
      </w:pPr>
      <w:r>
        <w:rPr>
          <w:rFonts w:ascii="Times New Roman" w:eastAsia="Times New Roman" w:hAnsi="Times New Roman" w:cs="Times New Roman"/>
          <w:b/>
        </w:rPr>
        <w:t xml:space="preserve">Portfolio Analysis </w:t>
      </w:r>
    </w:p>
    <w:p w14:paraId="5394C644"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i/>
          <w:u w:val="single"/>
        </w:rPr>
        <w:t>Evaluatio</w:t>
      </w:r>
      <w:r>
        <w:rPr>
          <w:rFonts w:ascii="Times New Roman" w:eastAsia="Times New Roman" w:hAnsi="Times New Roman" w:cs="Times New Roman"/>
          <w:i/>
          <w:u w:val="single"/>
        </w:rPr>
        <w:t>n of risk &amp; return</w:t>
      </w:r>
    </w:p>
    <w:p w14:paraId="0D86F82C" w14:textId="77777777" w:rsidR="0079560F" w:rsidRDefault="00B40299">
      <w:pPr>
        <w:rPr>
          <w:rFonts w:ascii="Times New Roman" w:eastAsia="Times New Roman" w:hAnsi="Times New Roman" w:cs="Times New Roman"/>
          <w:i/>
        </w:rPr>
      </w:pPr>
      <w:r>
        <w:rPr>
          <w:rFonts w:ascii="Times New Roman" w:eastAsia="Times New Roman" w:hAnsi="Times New Roman" w:cs="Times New Roman"/>
        </w:rPr>
        <w:t xml:space="preserve">To </w:t>
      </w:r>
      <w:proofErr w:type="spellStart"/>
      <w:r>
        <w:rPr>
          <w:rFonts w:ascii="Times New Roman" w:eastAsia="Times New Roman" w:hAnsi="Times New Roman" w:cs="Times New Roman"/>
        </w:rPr>
        <w:t>analyse</w:t>
      </w:r>
      <w:proofErr w:type="spellEnd"/>
      <w:r>
        <w:rPr>
          <w:rFonts w:ascii="Times New Roman" w:eastAsia="Times New Roman" w:hAnsi="Times New Roman" w:cs="Times New Roman"/>
        </w:rPr>
        <w:t xml:space="preserve"> the relationships between risk and return for our best and worst portfolios, we </w:t>
      </w:r>
      <w:proofErr w:type="gramStart"/>
      <w:r>
        <w:rPr>
          <w:rFonts w:ascii="Times New Roman" w:eastAsia="Times New Roman" w:hAnsi="Times New Roman" w:cs="Times New Roman"/>
        </w:rPr>
        <w:t>take a look</w:t>
      </w:r>
      <w:proofErr w:type="gramEnd"/>
      <w:r>
        <w:rPr>
          <w:rFonts w:ascii="Times New Roman" w:eastAsia="Times New Roman" w:hAnsi="Times New Roman" w:cs="Times New Roman"/>
        </w:rPr>
        <w:t xml:space="preserve"> at their performance in 2020. </w:t>
      </w:r>
    </w:p>
    <w:p w14:paraId="0DEB5ED1" w14:textId="77777777" w:rsidR="0079560F" w:rsidRDefault="0079560F">
      <w:pPr>
        <w:rPr>
          <w:rFonts w:ascii="Times New Roman" w:eastAsia="Times New Roman" w:hAnsi="Times New Roman" w:cs="Times New Roman"/>
        </w:rPr>
      </w:pPr>
    </w:p>
    <w:p w14:paraId="19A13F8F" w14:textId="77777777" w:rsidR="0079560F" w:rsidRDefault="00B40299">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ACB5377" wp14:editId="7EC5DCDB">
            <wp:extent cx="4578350" cy="4527550"/>
            <wp:effectExtent l="0" t="0" r="0" b="635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578642" cy="4527839"/>
                    </a:xfrm>
                    <a:prstGeom prst="rect">
                      <a:avLst/>
                    </a:prstGeom>
                    <a:ln/>
                  </pic:spPr>
                </pic:pic>
              </a:graphicData>
            </a:graphic>
          </wp:inline>
        </w:drawing>
      </w:r>
    </w:p>
    <w:p w14:paraId="5A101D4D" w14:textId="77777777" w:rsidR="0079560F" w:rsidRDefault="00B40299">
      <w:pPr>
        <w:rPr>
          <w:rFonts w:ascii="Times New Roman" w:eastAsia="Times New Roman" w:hAnsi="Times New Roman" w:cs="Times New Roman"/>
          <w:highlight w:val="white"/>
        </w:rPr>
      </w:pPr>
      <w:r>
        <w:rPr>
          <w:rFonts w:ascii="Times New Roman" w:eastAsia="Times New Roman" w:hAnsi="Times New Roman" w:cs="Times New Roman"/>
          <w:highlight w:val="white"/>
        </w:rPr>
        <w:t>The above plot describes the monthly returns and risk of the various portfolios in 2020. The best po</w:t>
      </w:r>
      <w:r>
        <w:rPr>
          <w:rFonts w:ascii="Times New Roman" w:eastAsia="Times New Roman" w:hAnsi="Times New Roman" w:cs="Times New Roman"/>
          <w:highlight w:val="white"/>
        </w:rPr>
        <w:t xml:space="preserve">rtfolio arguably gave the best return, and our worst portfolio gave the lowest return. We observe that the best and </w:t>
      </w:r>
      <w:proofErr w:type="spellStart"/>
      <w:r>
        <w:rPr>
          <w:rFonts w:ascii="Times New Roman" w:eastAsia="Times New Roman" w:hAnsi="Times New Roman" w:cs="Times New Roman"/>
          <w:highlight w:val="white"/>
        </w:rPr>
        <w:t>optimised</w:t>
      </w:r>
      <w:proofErr w:type="spellEnd"/>
      <w:r>
        <w:rPr>
          <w:rFonts w:ascii="Times New Roman" w:eastAsia="Times New Roman" w:hAnsi="Times New Roman" w:cs="Times New Roman"/>
          <w:highlight w:val="white"/>
        </w:rPr>
        <w:t xml:space="preserve"> portfolio returns fluctuated wildly throughout, while the worst portfolio’s returns were consistent but generally poor. For the mo</w:t>
      </w:r>
      <w:r>
        <w:rPr>
          <w:rFonts w:ascii="Times New Roman" w:eastAsia="Times New Roman" w:hAnsi="Times New Roman" w:cs="Times New Roman"/>
          <w:highlight w:val="white"/>
        </w:rPr>
        <w:t xml:space="preserve">nth of October, we can see that the adjusted portfolio returned marginally smaller losses than the optimal portfolio. Quantitatively, the </w:t>
      </w:r>
      <w:proofErr w:type="spellStart"/>
      <w:r>
        <w:rPr>
          <w:rFonts w:ascii="Times New Roman" w:eastAsia="Times New Roman" w:hAnsi="Times New Roman" w:cs="Times New Roman"/>
          <w:highlight w:val="white"/>
        </w:rPr>
        <w:t>optimised</w:t>
      </w:r>
      <w:proofErr w:type="spellEnd"/>
      <w:r>
        <w:rPr>
          <w:rFonts w:ascii="Times New Roman" w:eastAsia="Times New Roman" w:hAnsi="Times New Roman" w:cs="Times New Roman"/>
          <w:highlight w:val="white"/>
        </w:rPr>
        <w:t xml:space="preserve"> portfolio returned a loss of -3.15% in October, while the adjusted portfolio returned a loss of -2.24%. </w:t>
      </w:r>
    </w:p>
    <w:p w14:paraId="3740F056" w14:textId="77777777" w:rsidR="0079560F" w:rsidRDefault="0079560F">
      <w:pPr>
        <w:rPr>
          <w:rFonts w:ascii="Times New Roman" w:eastAsia="Times New Roman" w:hAnsi="Times New Roman" w:cs="Times New Roman"/>
          <w:b/>
          <w:highlight w:val="white"/>
        </w:rPr>
      </w:pPr>
    </w:p>
    <w:p w14:paraId="5150D328" w14:textId="77777777" w:rsidR="0079560F" w:rsidRDefault="00B40299">
      <w:pPr>
        <w:rPr>
          <w:rFonts w:ascii="Times New Roman" w:eastAsia="Times New Roman" w:hAnsi="Times New Roman" w:cs="Times New Roman"/>
          <w:highlight w:val="white"/>
        </w:rPr>
      </w:pPr>
      <w:r>
        <w:rPr>
          <w:rFonts w:ascii="Times New Roman" w:eastAsia="Times New Roman" w:hAnsi="Times New Roman" w:cs="Times New Roman"/>
          <w:highlight w:val="white"/>
        </w:rPr>
        <w:t>Th</w:t>
      </w:r>
      <w:r>
        <w:rPr>
          <w:rFonts w:ascii="Times New Roman" w:eastAsia="Times New Roman" w:hAnsi="Times New Roman" w:cs="Times New Roman"/>
          <w:highlight w:val="white"/>
        </w:rPr>
        <w:t xml:space="preserve">e monthly risk was highest for the </w:t>
      </w:r>
      <w:proofErr w:type="spellStart"/>
      <w:r>
        <w:rPr>
          <w:rFonts w:ascii="Times New Roman" w:eastAsia="Times New Roman" w:hAnsi="Times New Roman" w:cs="Times New Roman"/>
          <w:highlight w:val="white"/>
        </w:rPr>
        <w:t>optimised</w:t>
      </w:r>
      <w:proofErr w:type="spellEnd"/>
      <w:r>
        <w:rPr>
          <w:rFonts w:ascii="Times New Roman" w:eastAsia="Times New Roman" w:hAnsi="Times New Roman" w:cs="Times New Roman"/>
          <w:highlight w:val="white"/>
        </w:rPr>
        <w:t xml:space="preserve"> portfolio but still </w:t>
      </w:r>
      <w:proofErr w:type="gramStart"/>
      <w:r>
        <w:rPr>
          <w:rFonts w:ascii="Times New Roman" w:eastAsia="Times New Roman" w:hAnsi="Times New Roman" w:cs="Times New Roman"/>
          <w:highlight w:val="white"/>
        </w:rPr>
        <w:t>similar to</w:t>
      </w:r>
      <w:proofErr w:type="gramEnd"/>
      <w:r>
        <w:rPr>
          <w:rFonts w:ascii="Times New Roman" w:eastAsia="Times New Roman" w:hAnsi="Times New Roman" w:cs="Times New Roman"/>
          <w:highlight w:val="white"/>
        </w:rPr>
        <w:t xml:space="preserve"> the best portfolio, with the worst portfolio consistently having the lowest risk among the 3 portfolios. In the month of October, we see that our </w:t>
      </w:r>
      <w:r>
        <w:rPr>
          <w:rFonts w:ascii="Times New Roman" w:eastAsia="Times New Roman" w:hAnsi="Times New Roman" w:cs="Times New Roman"/>
          <w:highlight w:val="white"/>
        </w:rPr>
        <w:lastRenderedPageBreak/>
        <w:t xml:space="preserve">adjustments reduced the amount of </w:t>
      </w:r>
      <w:r>
        <w:rPr>
          <w:rFonts w:ascii="Times New Roman" w:eastAsia="Times New Roman" w:hAnsi="Times New Roman" w:cs="Times New Roman"/>
          <w:highlight w:val="white"/>
        </w:rPr>
        <w:t xml:space="preserve">risk slightly, but it still had considerably higher risk than both the best and worst portfolio. </w:t>
      </w:r>
    </w:p>
    <w:p w14:paraId="24C17D0D" w14:textId="77777777" w:rsidR="0079560F" w:rsidRDefault="0079560F">
      <w:pPr>
        <w:ind w:left="720"/>
        <w:rPr>
          <w:rFonts w:ascii="Times New Roman" w:eastAsia="Times New Roman" w:hAnsi="Times New Roman" w:cs="Times New Roman"/>
          <w:highlight w:val="white"/>
        </w:rPr>
      </w:pPr>
    </w:p>
    <w:p w14:paraId="2DE71532" w14:textId="70B4B9C8" w:rsidR="0079560F" w:rsidRDefault="008B7BDF">
      <w:pPr>
        <w:rPr>
          <w:rFonts w:ascii="Times New Roman" w:eastAsia="Times New Roman" w:hAnsi="Times New Roman" w:cs="Times New Roman"/>
          <w:highlight w:val="white"/>
        </w:rPr>
      </w:pPr>
      <w:r>
        <w:rPr>
          <w:noProof/>
        </w:rPr>
        <w:drawing>
          <wp:anchor distT="114300" distB="114300" distL="114300" distR="114300" simplePos="0" relativeHeight="251658240" behindDoc="0" locked="0" layoutInCell="1" hidden="0" allowOverlap="1" wp14:anchorId="466D9E76" wp14:editId="0158467A">
            <wp:simplePos x="0" y="0"/>
            <wp:positionH relativeFrom="column">
              <wp:posOffset>2933700</wp:posOffset>
            </wp:positionH>
            <wp:positionV relativeFrom="paragraph">
              <wp:posOffset>264795</wp:posOffset>
            </wp:positionV>
            <wp:extent cx="3409950" cy="2171700"/>
            <wp:effectExtent l="0" t="0" r="0" b="0"/>
            <wp:wrapSquare wrapText="bothSides" distT="114300" distB="114300" distL="114300" distR="114300"/>
            <wp:docPr id="7"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7"/>
                    <a:srcRect/>
                    <a:stretch>
                      <a:fillRect/>
                    </a:stretch>
                  </pic:blipFill>
                  <pic:spPr>
                    <a:xfrm>
                      <a:off x="0" y="0"/>
                      <a:ext cx="3409950" cy="2171700"/>
                    </a:xfrm>
                    <a:prstGeom prst="rect">
                      <a:avLst/>
                    </a:prstGeom>
                    <a:ln/>
                  </pic:spPr>
                </pic:pic>
              </a:graphicData>
            </a:graphic>
            <wp14:sizeRelH relativeFrom="margin">
              <wp14:pctWidth>0</wp14:pctWidth>
            </wp14:sizeRelH>
            <wp14:sizeRelV relativeFrom="margin">
              <wp14:pctHeight>0</wp14:pctHeight>
            </wp14:sizeRelV>
          </wp:anchor>
        </w:drawing>
      </w:r>
      <w:r w:rsidR="00B40299">
        <w:rPr>
          <w:rFonts w:ascii="Times New Roman" w:eastAsia="Times New Roman" w:hAnsi="Times New Roman" w:cs="Times New Roman"/>
          <w:highlight w:val="white"/>
        </w:rPr>
        <w:t xml:space="preserve">Both the returns and risk were consistent with our expectations on how the two mutual funds would perform. As expected, since RYCFX’s portfolio consisted of </w:t>
      </w:r>
      <w:r w:rsidR="00B40299">
        <w:rPr>
          <w:rFonts w:ascii="Times New Roman" w:eastAsia="Times New Roman" w:hAnsi="Times New Roman" w:cs="Times New Roman"/>
          <w:highlight w:val="white"/>
        </w:rPr>
        <w:t xml:space="preserve">larger companies, they were able to have significantly smaller fluctuations in both risk and return during this pandemic compared to our best and </w:t>
      </w:r>
      <w:proofErr w:type="spellStart"/>
      <w:r w:rsidR="00B40299">
        <w:rPr>
          <w:rFonts w:ascii="Times New Roman" w:eastAsia="Times New Roman" w:hAnsi="Times New Roman" w:cs="Times New Roman"/>
          <w:highlight w:val="white"/>
        </w:rPr>
        <w:t>optimised</w:t>
      </w:r>
      <w:proofErr w:type="spellEnd"/>
      <w:r w:rsidR="00B40299">
        <w:rPr>
          <w:rFonts w:ascii="Times New Roman" w:eastAsia="Times New Roman" w:hAnsi="Times New Roman" w:cs="Times New Roman"/>
          <w:highlight w:val="white"/>
        </w:rPr>
        <w:t xml:space="preserve"> portfolio. The increased volatility for the </w:t>
      </w:r>
      <w:proofErr w:type="spellStart"/>
      <w:r w:rsidR="00B40299">
        <w:rPr>
          <w:rFonts w:ascii="Times New Roman" w:eastAsia="Times New Roman" w:hAnsi="Times New Roman" w:cs="Times New Roman"/>
          <w:highlight w:val="white"/>
        </w:rPr>
        <w:t>optimised</w:t>
      </w:r>
      <w:proofErr w:type="spellEnd"/>
      <w:r w:rsidR="00B40299">
        <w:rPr>
          <w:rFonts w:ascii="Times New Roman" w:eastAsia="Times New Roman" w:hAnsi="Times New Roman" w:cs="Times New Roman"/>
          <w:highlight w:val="white"/>
        </w:rPr>
        <w:t xml:space="preserve"> and adjusted portfolio from August to Septembe</w:t>
      </w:r>
      <w:r w:rsidR="00B40299">
        <w:rPr>
          <w:rFonts w:ascii="Times New Roman" w:eastAsia="Times New Roman" w:hAnsi="Times New Roman" w:cs="Times New Roman"/>
          <w:highlight w:val="white"/>
        </w:rPr>
        <w:t>r could be due to the smaller biotech companies announcing more promising trials of the COVID-19 vaccine, which would attract speculative investors to gamble on their pending success.</w:t>
      </w:r>
    </w:p>
    <w:p w14:paraId="1524DEDB" w14:textId="77777777" w:rsidR="0079560F" w:rsidRDefault="0079560F">
      <w:pPr>
        <w:rPr>
          <w:rFonts w:ascii="Times New Roman" w:eastAsia="Times New Roman" w:hAnsi="Times New Roman" w:cs="Times New Roman"/>
          <w:highlight w:val="white"/>
        </w:rPr>
      </w:pPr>
    </w:p>
    <w:p w14:paraId="42863A2C" w14:textId="77777777" w:rsidR="0079560F" w:rsidRDefault="00B40299">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For our </w:t>
      </w:r>
      <w:proofErr w:type="spellStart"/>
      <w:r>
        <w:rPr>
          <w:rFonts w:ascii="Times New Roman" w:eastAsia="Times New Roman" w:hAnsi="Times New Roman" w:cs="Times New Roman"/>
          <w:highlight w:val="white"/>
        </w:rPr>
        <w:t>optimised</w:t>
      </w:r>
      <w:proofErr w:type="spellEnd"/>
      <w:r>
        <w:rPr>
          <w:rFonts w:ascii="Times New Roman" w:eastAsia="Times New Roman" w:hAnsi="Times New Roman" w:cs="Times New Roman"/>
          <w:highlight w:val="white"/>
        </w:rPr>
        <w:t xml:space="preserve"> portfolio, we increased the weights for GLPG and NBI</w:t>
      </w:r>
      <w:r>
        <w:rPr>
          <w:rFonts w:ascii="Times New Roman" w:eastAsia="Times New Roman" w:hAnsi="Times New Roman" w:cs="Times New Roman"/>
          <w:highlight w:val="white"/>
        </w:rPr>
        <w:t xml:space="preserve">X, namely because we expected a rising demand for the drug needed for patients with rheumatoid arthritis, and </w:t>
      </w:r>
      <w:proofErr w:type="spellStart"/>
      <w:r>
        <w:rPr>
          <w:rFonts w:ascii="Times New Roman" w:eastAsia="Times New Roman" w:hAnsi="Times New Roman" w:cs="Times New Roman"/>
          <w:highlight w:val="white"/>
        </w:rPr>
        <w:t>parkinson's</w:t>
      </w:r>
      <w:proofErr w:type="spellEnd"/>
      <w:r>
        <w:rPr>
          <w:rFonts w:ascii="Times New Roman" w:eastAsia="Times New Roman" w:hAnsi="Times New Roman" w:cs="Times New Roman"/>
          <w:highlight w:val="white"/>
        </w:rPr>
        <w:t xml:space="preserve"> disease, while we decreased the weights of GWPH and CRNX due to the uncertainty of the </w:t>
      </w:r>
      <w:proofErr w:type="spellStart"/>
      <w:r>
        <w:rPr>
          <w:rFonts w:ascii="Times New Roman" w:eastAsia="Times New Roman" w:hAnsi="Times New Roman" w:cs="Times New Roman"/>
          <w:highlight w:val="white"/>
        </w:rPr>
        <w:t>companies</w:t>
      </w:r>
      <w:proofErr w:type="spellEnd"/>
      <w:r>
        <w:rPr>
          <w:rFonts w:ascii="Times New Roman" w:eastAsia="Times New Roman" w:hAnsi="Times New Roman" w:cs="Times New Roman"/>
          <w:highlight w:val="white"/>
        </w:rPr>
        <w:t xml:space="preserve"> performance in this current pandemic.</w:t>
      </w:r>
      <w:r>
        <w:rPr>
          <w:rFonts w:ascii="Times New Roman" w:eastAsia="Times New Roman" w:hAnsi="Times New Roman" w:cs="Times New Roman"/>
          <w:highlight w:val="white"/>
        </w:rPr>
        <w:t xml:space="preserve"> While our analysis of GWPH and CRNX was correct for the month of October as these assets returned losses, our analysis for GLPG and NBIX did not bear fruit as the price seemed to move sideways with no clear trend. These can be observed from the chart abov</w:t>
      </w:r>
      <w:r>
        <w:rPr>
          <w:rFonts w:ascii="Times New Roman" w:eastAsia="Times New Roman" w:hAnsi="Times New Roman" w:cs="Times New Roman"/>
          <w:highlight w:val="white"/>
        </w:rPr>
        <w:t xml:space="preserve">e. </w:t>
      </w:r>
    </w:p>
    <w:p w14:paraId="32726FD2" w14:textId="77777777" w:rsidR="0079560F" w:rsidRDefault="0079560F">
      <w:pPr>
        <w:jc w:val="both"/>
        <w:rPr>
          <w:rFonts w:ascii="Times New Roman" w:eastAsia="Times New Roman" w:hAnsi="Times New Roman" w:cs="Times New Roman"/>
          <w:highlight w:val="white"/>
        </w:rPr>
      </w:pPr>
    </w:p>
    <w:p w14:paraId="6B3889DA" w14:textId="77777777" w:rsidR="0079560F" w:rsidRDefault="00B40299">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performance of individual assets </w:t>
      </w:r>
      <w:proofErr w:type="gramStart"/>
      <w:r>
        <w:rPr>
          <w:rFonts w:ascii="Times New Roman" w:eastAsia="Times New Roman" w:hAnsi="Times New Roman" w:cs="Times New Roman"/>
          <w:highlight w:val="white"/>
        </w:rPr>
        <w:t>were</w:t>
      </w:r>
      <w:proofErr w:type="gramEnd"/>
      <w:r>
        <w:rPr>
          <w:rFonts w:ascii="Times New Roman" w:eastAsia="Times New Roman" w:hAnsi="Times New Roman" w:cs="Times New Roman"/>
          <w:highlight w:val="white"/>
        </w:rPr>
        <w:t xml:space="preserve"> also not consistent with our prior analysis in adjusting expected returns. The plot below compares the observed returns of the various assets in 2020 and the expected returns which we obtained from the Black-</w:t>
      </w:r>
      <w:proofErr w:type="spellStart"/>
      <w:r>
        <w:rPr>
          <w:rFonts w:ascii="Times New Roman" w:eastAsia="Times New Roman" w:hAnsi="Times New Roman" w:cs="Times New Roman"/>
          <w:highlight w:val="white"/>
        </w:rPr>
        <w:t>L</w:t>
      </w:r>
      <w:r>
        <w:rPr>
          <w:rFonts w:ascii="Times New Roman" w:eastAsia="Times New Roman" w:hAnsi="Times New Roman" w:cs="Times New Roman"/>
          <w:highlight w:val="white"/>
        </w:rPr>
        <w:t>itterman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optimisation</w:t>
      </w:r>
      <w:proofErr w:type="spellEnd"/>
      <w:r>
        <w:rPr>
          <w:rFonts w:ascii="Times New Roman" w:eastAsia="Times New Roman" w:hAnsi="Times New Roman" w:cs="Times New Roman"/>
          <w:highlight w:val="white"/>
        </w:rPr>
        <w:t>. We remark that the observed returns deviate greatly from the forecasts of expected returns. While there has undoubtedly been more volatility in the stock market this year due to the COVID-19 pandemic, it is also possible that our est</w:t>
      </w:r>
      <w:r>
        <w:rPr>
          <w:rFonts w:ascii="Times New Roman" w:eastAsia="Times New Roman" w:hAnsi="Times New Roman" w:cs="Times New Roman"/>
          <w:highlight w:val="white"/>
        </w:rPr>
        <w:t xml:space="preserve">imates were overly conservative. </w:t>
      </w:r>
    </w:p>
    <w:p w14:paraId="730D63BB" w14:textId="77777777" w:rsidR="0079560F" w:rsidRDefault="0079560F">
      <w:pPr>
        <w:jc w:val="both"/>
        <w:rPr>
          <w:rFonts w:ascii="Times New Roman" w:eastAsia="Times New Roman" w:hAnsi="Times New Roman" w:cs="Times New Roman"/>
          <w:highlight w:val="white"/>
        </w:rPr>
      </w:pPr>
    </w:p>
    <w:p w14:paraId="63B800BB" w14:textId="77777777" w:rsidR="0079560F" w:rsidRDefault="00B40299">
      <w:pPr>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186E6FB5" wp14:editId="284030D3">
            <wp:extent cx="5302250" cy="25590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02860" cy="2559344"/>
                    </a:xfrm>
                    <a:prstGeom prst="rect">
                      <a:avLst/>
                    </a:prstGeom>
                    <a:ln/>
                  </pic:spPr>
                </pic:pic>
              </a:graphicData>
            </a:graphic>
          </wp:inline>
        </w:drawing>
      </w:r>
    </w:p>
    <w:p w14:paraId="2500F342" w14:textId="77777777" w:rsidR="0079560F" w:rsidRDefault="00B40299">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It should also be noted that based on our estimates, only one of the assets were expected to return a loss in 2020. This shows the weaknesses in using analyst target prices as an investment outlook, as these views tend to be biased upward. </w:t>
      </w:r>
    </w:p>
    <w:p w14:paraId="3080DEFA" w14:textId="77777777" w:rsidR="0079560F" w:rsidRDefault="0079560F">
      <w:pPr>
        <w:rPr>
          <w:rFonts w:ascii="Times New Roman" w:eastAsia="Times New Roman" w:hAnsi="Times New Roman" w:cs="Times New Roman"/>
        </w:rPr>
      </w:pPr>
    </w:p>
    <w:p w14:paraId="5AF6F8E8"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i/>
          <w:u w:val="single"/>
        </w:rPr>
        <w:t>Best / Worst P</w:t>
      </w:r>
      <w:r>
        <w:rPr>
          <w:rFonts w:ascii="Times New Roman" w:eastAsia="Times New Roman" w:hAnsi="Times New Roman" w:cs="Times New Roman"/>
          <w:i/>
          <w:u w:val="single"/>
        </w:rPr>
        <w:t>ortfolio Adjustments</w:t>
      </w:r>
    </w:p>
    <w:p w14:paraId="4FB7BF30" w14:textId="77777777" w:rsidR="0079560F" w:rsidRDefault="00B40299">
      <w:pPr>
        <w:rPr>
          <w:rFonts w:ascii="Times New Roman" w:eastAsia="Times New Roman" w:hAnsi="Times New Roman" w:cs="Times New Roman"/>
          <w:b/>
          <w:i/>
          <w:u w:val="single"/>
        </w:rPr>
      </w:pPr>
      <w:r>
        <w:rPr>
          <w:rFonts w:ascii="Times New Roman" w:eastAsia="Times New Roman" w:hAnsi="Times New Roman" w:cs="Times New Roman"/>
          <w:b/>
          <w:i/>
          <w:noProof/>
          <w:u w:val="single"/>
        </w:rPr>
        <w:drawing>
          <wp:inline distT="114300" distB="114300" distL="114300" distR="114300" wp14:anchorId="68C3FFE6" wp14:editId="423CFFA2">
            <wp:extent cx="7166401" cy="411311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7166401" cy="4113110"/>
                    </a:xfrm>
                    <a:prstGeom prst="rect">
                      <a:avLst/>
                    </a:prstGeom>
                    <a:ln/>
                  </pic:spPr>
                </pic:pic>
              </a:graphicData>
            </a:graphic>
          </wp:inline>
        </w:drawing>
      </w:r>
    </w:p>
    <w:p w14:paraId="572E6549" w14:textId="77777777" w:rsidR="0079560F" w:rsidRDefault="0079560F">
      <w:pPr>
        <w:rPr>
          <w:rFonts w:ascii="Times New Roman" w:eastAsia="Times New Roman" w:hAnsi="Times New Roman" w:cs="Times New Roman"/>
          <w:b/>
          <w:u w:val="single"/>
        </w:rPr>
      </w:pPr>
    </w:p>
    <w:p w14:paraId="29F07AFC"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i/>
          <w:noProof/>
          <w:u w:val="single"/>
        </w:rPr>
        <w:drawing>
          <wp:inline distT="114300" distB="114300" distL="114300" distR="114300" wp14:anchorId="3927C4F7" wp14:editId="45BC0CC6">
            <wp:extent cx="5120985" cy="2909888"/>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120985" cy="2909888"/>
                    </a:xfrm>
                    <a:prstGeom prst="rect">
                      <a:avLst/>
                    </a:prstGeom>
                    <a:ln/>
                  </pic:spPr>
                </pic:pic>
              </a:graphicData>
            </a:graphic>
          </wp:inline>
        </w:drawing>
      </w:r>
    </w:p>
    <w:p w14:paraId="09AAEABE"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lastRenderedPageBreak/>
        <w:t xml:space="preserve">The plots describe the returns and risk for our best and worst portfolios, after their weights were adjusted in June 2020. Visually </w:t>
      </w:r>
      <w:proofErr w:type="spellStart"/>
      <w:r>
        <w:rPr>
          <w:rFonts w:ascii="Times New Roman" w:eastAsia="Times New Roman" w:hAnsi="Times New Roman" w:cs="Times New Roman"/>
        </w:rPr>
        <w:t>analysing</w:t>
      </w:r>
      <w:proofErr w:type="spellEnd"/>
      <w:r>
        <w:rPr>
          <w:rFonts w:ascii="Times New Roman" w:eastAsia="Times New Roman" w:hAnsi="Times New Roman" w:cs="Times New Roman"/>
        </w:rPr>
        <w:t xml:space="preserve"> these graphs, it is difficult to form any meaningful conclusion as to whether the adjust</w:t>
      </w:r>
      <w:r>
        <w:rPr>
          <w:rFonts w:ascii="Times New Roman" w:eastAsia="Times New Roman" w:hAnsi="Times New Roman" w:cs="Times New Roman"/>
        </w:rPr>
        <w:t xml:space="preserve">ment significantly affected the portfolio’s performance. For the best portfolio, the returns and risk plots are </w:t>
      </w:r>
      <w:proofErr w:type="gramStart"/>
      <w:r>
        <w:rPr>
          <w:rFonts w:ascii="Times New Roman" w:eastAsia="Times New Roman" w:hAnsi="Times New Roman" w:cs="Times New Roman"/>
        </w:rPr>
        <w:t>fairly similar</w:t>
      </w:r>
      <w:proofErr w:type="gramEnd"/>
      <w:r>
        <w:rPr>
          <w:rFonts w:ascii="Times New Roman" w:eastAsia="Times New Roman" w:hAnsi="Times New Roman" w:cs="Times New Roman"/>
        </w:rPr>
        <w:t xml:space="preserve"> despite having 10 new stocks introduced (and 10 removed) into the portfolio. For the worst portfolio, the adjustment of portfolio</w:t>
      </w:r>
      <w:r>
        <w:rPr>
          <w:rFonts w:ascii="Times New Roman" w:eastAsia="Times New Roman" w:hAnsi="Times New Roman" w:cs="Times New Roman"/>
        </w:rPr>
        <w:t xml:space="preserve"> weights was not as drastic as none of the allocations changed by more than 1 percentage point. Similarly, only 6 new stocks were added to the portfolio, albeit being allocated a </w:t>
      </w:r>
      <w:proofErr w:type="gramStart"/>
      <w:r>
        <w:rPr>
          <w:rFonts w:ascii="Times New Roman" w:eastAsia="Times New Roman" w:hAnsi="Times New Roman" w:cs="Times New Roman"/>
        </w:rPr>
        <w:t>fairly small</w:t>
      </w:r>
      <w:proofErr w:type="gramEnd"/>
      <w:r>
        <w:rPr>
          <w:rFonts w:ascii="Times New Roman" w:eastAsia="Times New Roman" w:hAnsi="Times New Roman" w:cs="Times New Roman"/>
        </w:rPr>
        <w:t xml:space="preserve"> weightage. Graphs for the changes in weights can be found in App</w:t>
      </w:r>
      <w:r>
        <w:rPr>
          <w:rFonts w:ascii="Times New Roman" w:eastAsia="Times New Roman" w:hAnsi="Times New Roman" w:cs="Times New Roman"/>
        </w:rPr>
        <w:t>endix A. These observations illustrate the different approaches to portfolio management when the composition of the portfolio leans toward larger, stable companies.</w:t>
      </w:r>
    </w:p>
    <w:p w14:paraId="7CFC42A7" w14:textId="77777777" w:rsidR="0079560F" w:rsidRDefault="0079560F">
      <w:pPr>
        <w:rPr>
          <w:rFonts w:ascii="Times New Roman" w:eastAsia="Times New Roman" w:hAnsi="Times New Roman" w:cs="Times New Roman"/>
        </w:rPr>
      </w:pPr>
    </w:p>
    <w:p w14:paraId="7495F361" w14:textId="77777777" w:rsidR="0079560F" w:rsidRDefault="0079560F">
      <w:pPr>
        <w:rPr>
          <w:rFonts w:ascii="Times New Roman" w:eastAsia="Times New Roman" w:hAnsi="Times New Roman" w:cs="Times New Roman"/>
        </w:rPr>
      </w:pPr>
    </w:p>
    <w:p w14:paraId="37A6D40A" w14:textId="77777777" w:rsidR="0079560F" w:rsidRDefault="00B40299">
      <w:pPr>
        <w:rPr>
          <w:rFonts w:ascii="Times New Roman" w:eastAsia="Times New Roman" w:hAnsi="Times New Roman" w:cs="Times New Roman"/>
          <w:b/>
        </w:rPr>
      </w:pPr>
      <w:r>
        <w:rPr>
          <w:rFonts w:ascii="Times New Roman" w:eastAsia="Times New Roman" w:hAnsi="Times New Roman" w:cs="Times New Roman"/>
          <w:b/>
        </w:rPr>
        <w:t>Hedging</w:t>
      </w:r>
    </w:p>
    <w:p w14:paraId="16214A98"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i/>
          <w:u w:val="single"/>
        </w:rPr>
        <w:t>Value-at-Risk (</w:t>
      </w:r>
      <w:proofErr w:type="spellStart"/>
      <w:r>
        <w:rPr>
          <w:rFonts w:ascii="Times New Roman" w:eastAsia="Times New Roman" w:hAnsi="Times New Roman" w:cs="Times New Roman"/>
          <w:i/>
          <w:u w:val="single"/>
        </w:rPr>
        <w:t>VaR</w:t>
      </w:r>
      <w:proofErr w:type="spellEnd"/>
      <w:r>
        <w:rPr>
          <w:rFonts w:ascii="Times New Roman" w:eastAsia="Times New Roman" w:hAnsi="Times New Roman" w:cs="Times New Roman"/>
          <w:i/>
          <w:u w:val="single"/>
        </w:rPr>
        <w:t>) analysis (Parametric Approach)</w:t>
      </w:r>
    </w:p>
    <w:p w14:paraId="16375D39"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We </w:t>
      </w:r>
      <w:proofErr w:type="spellStart"/>
      <w:r>
        <w:rPr>
          <w:rFonts w:ascii="Times New Roman" w:eastAsia="Times New Roman" w:hAnsi="Times New Roman" w:cs="Times New Roman"/>
        </w:rPr>
        <w:t>analyse</w:t>
      </w:r>
      <w:proofErr w:type="spellEnd"/>
      <w:r>
        <w:rPr>
          <w:rFonts w:ascii="Times New Roman" w:eastAsia="Times New Roman" w:hAnsi="Times New Roman" w:cs="Times New Roman"/>
        </w:rPr>
        <w:t xml:space="preserve"> our portfolio’s risk over the 3, </w:t>
      </w:r>
      <w:proofErr w:type="gramStart"/>
      <w:r>
        <w:rPr>
          <w:rFonts w:ascii="Times New Roman" w:eastAsia="Times New Roman" w:hAnsi="Times New Roman" w:cs="Times New Roman"/>
        </w:rPr>
        <w:t>6 and 9 month</w:t>
      </w:r>
      <w:proofErr w:type="gramEnd"/>
      <w:r>
        <w:rPr>
          <w:rFonts w:ascii="Times New Roman" w:eastAsia="Times New Roman" w:hAnsi="Times New Roman" w:cs="Times New Roman"/>
        </w:rPr>
        <w:t xml:space="preserve"> horizons to gain an understanding of portfolio value that might be lost over these time horizons. To perform this analysis, we use the log returns </w:t>
      </w:r>
      <w:r>
        <w:rPr>
          <w:rFonts w:ascii="Times New Roman" w:eastAsia="Times New Roman" w:hAnsi="Times New Roman" w:cs="Times New Roman"/>
        </w:rPr>
        <w:t xml:space="preserve">of our hypothetical portfolio over 2019. Having checked that the normality assumptions for the log returns hold (see Appendix B), we proceed to estimate the </w:t>
      </w:r>
      <w:proofErr w:type="gramStart"/>
      <w:r>
        <w:rPr>
          <w:rFonts w:ascii="Times New Roman" w:eastAsia="Times New Roman" w:hAnsi="Times New Roman" w:cs="Times New Roman"/>
        </w:rPr>
        <w:t>1 day</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expressed in simple returns, at 1% and 5% significance levels using the parametric appro</w:t>
      </w:r>
      <w:r>
        <w:rPr>
          <w:rFonts w:ascii="Times New Roman" w:eastAsia="Times New Roman" w:hAnsi="Times New Roman" w:cs="Times New Roman"/>
        </w:rPr>
        <w:t xml:space="preserve">ach. To scale the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to the respective time horizons, we multiply the </w:t>
      </w:r>
      <w:proofErr w:type="gramStart"/>
      <w:r>
        <w:rPr>
          <w:rFonts w:ascii="Times New Roman" w:eastAsia="Times New Roman" w:hAnsi="Times New Roman" w:cs="Times New Roman"/>
        </w:rPr>
        <w:t>1 day</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estimate by the square root of the respective time horizon. While this approach oversimplifies the longer horizon calculation of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we observe that there does not appear to </w:t>
      </w:r>
      <w:r>
        <w:rPr>
          <w:rFonts w:ascii="Times New Roman" w:eastAsia="Times New Roman" w:hAnsi="Times New Roman" w:cs="Times New Roman"/>
        </w:rPr>
        <w:t xml:space="preserve">be any serial autocorrelation for lags up to 126 days at the 5% significance level (see Appendix C). The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estimates are reflected in the following table: </w:t>
      </w:r>
    </w:p>
    <w:p w14:paraId="6500096E" w14:textId="77777777" w:rsidR="0079560F" w:rsidRDefault="0079560F">
      <w:pPr>
        <w:rPr>
          <w:rFonts w:ascii="Times New Roman" w:eastAsia="Times New Roman" w:hAnsi="Times New Roman" w:cs="Times New Roman"/>
        </w:rPr>
      </w:pPr>
    </w:p>
    <w:tbl>
      <w:tblPr>
        <w:tblStyle w:val="a"/>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3330"/>
        <w:gridCol w:w="3330"/>
      </w:tblGrid>
      <w:tr w:rsidR="0079560F" w14:paraId="44775224" w14:textId="77777777">
        <w:tc>
          <w:tcPr>
            <w:tcW w:w="3330" w:type="dxa"/>
            <w:shd w:val="clear" w:color="auto" w:fill="CFE2F3"/>
            <w:tcMar>
              <w:top w:w="100" w:type="dxa"/>
              <w:left w:w="100" w:type="dxa"/>
              <w:bottom w:w="100" w:type="dxa"/>
              <w:right w:w="100" w:type="dxa"/>
            </w:tcMar>
          </w:tcPr>
          <w:p w14:paraId="4D76A3DE" w14:textId="77777777" w:rsidR="0079560F" w:rsidRDefault="00B40299">
            <w:pPr>
              <w:widowControl w:val="0"/>
              <w:spacing w:line="240" w:lineRule="auto"/>
              <w:ind w:hanging="1170"/>
              <w:jc w:val="center"/>
              <w:rPr>
                <w:rFonts w:ascii="Times New Roman" w:eastAsia="Times New Roman" w:hAnsi="Times New Roman" w:cs="Times New Roman"/>
              </w:rPr>
            </w:pPr>
            <w:r>
              <w:rPr>
                <w:rFonts w:ascii="Times New Roman" w:eastAsia="Times New Roman" w:hAnsi="Times New Roman" w:cs="Times New Roman"/>
              </w:rPr>
              <w:t xml:space="preserve"> Horizon</w:t>
            </w:r>
          </w:p>
        </w:tc>
        <w:tc>
          <w:tcPr>
            <w:tcW w:w="3330" w:type="dxa"/>
            <w:shd w:val="clear" w:color="auto" w:fill="CFE2F3"/>
            <w:tcMar>
              <w:top w:w="100" w:type="dxa"/>
              <w:left w:w="100" w:type="dxa"/>
              <w:bottom w:w="100" w:type="dxa"/>
              <w:right w:w="100" w:type="dxa"/>
            </w:tcMar>
          </w:tcPr>
          <w:p w14:paraId="5B794C7F"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Significance</w:t>
            </w:r>
          </w:p>
        </w:tc>
        <w:tc>
          <w:tcPr>
            <w:tcW w:w="3330" w:type="dxa"/>
            <w:shd w:val="clear" w:color="auto" w:fill="CFE2F3"/>
            <w:tcMar>
              <w:top w:w="100" w:type="dxa"/>
              <w:left w:w="100" w:type="dxa"/>
              <w:bottom w:w="100" w:type="dxa"/>
              <w:right w:w="100" w:type="dxa"/>
            </w:tcMar>
          </w:tcPr>
          <w:p w14:paraId="57787D9A"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Optimal Portfolio</w:t>
            </w:r>
          </w:p>
        </w:tc>
      </w:tr>
      <w:tr w:rsidR="0079560F" w14:paraId="0458DEEC" w14:textId="77777777">
        <w:tc>
          <w:tcPr>
            <w:tcW w:w="3330" w:type="dxa"/>
            <w:vMerge w:val="restart"/>
            <w:shd w:val="clear" w:color="auto" w:fill="auto"/>
            <w:tcMar>
              <w:top w:w="100" w:type="dxa"/>
              <w:left w:w="100" w:type="dxa"/>
              <w:bottom w:w="100" w:type="dxa"/>
              <w:right w:w="100" w:type="dxa"/>
            </w:tcMar>
          </w:tcPr>
          <w:p w14:paraId="3096F6B6"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 months</w:t>
            </w:r>
          </w:p>
        </w:tc>
        <w:tc>
          <w:tcPr>
            <w:tcW w:w="3330" w:type="dxa"/>
            <w:shd w:val="clear" w:color="auto" w:fill="auto"/>
            <w:tcMar>
              <w:top w:w="100" w:type="dxa"/>
              <w:left w:w="100" w:type="dxa"/>
              <w:bottom w:w="100" w:type="dxa"/>
              <w:right w:w="100" w:type="dxa"/>
            </w:tcMar>
          </w:tcPr>
          <w:p w14:paraId="2A837079"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330" w:type="dxa"/>
            <w:shd w:val="clear" w:color="auto" w:fill="auto"/>
            <w:tcMar>
              <w:top w:w="100" w:type="dxa"/>
              <w:left w:w="100" w:type="dxa"/>
              <w:bottom w:w="100" w:type="dxa"/>
              <w:right w:w="100" w:type="dxa"/>
            </w:tcMar>
          </w:tcPr>
          <w:p w14:paraId="0F7E88F5"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25.3%</w:t>
            </w:r>
          </w:p>
        </w:tc>
      </w:tr>
      <w:tr w:rsidR="0079560F" w14:paraId="4AB3495E" w14:textId="77777777">
        <w:tc>
          <w:tcPr>
            <w:tcW w:w="3330" w:type="dxa"/>
            <w:vMerge/>
            <w:shd w:val="clear" w:color="auto" w:fill="auto"/>
            <w:tcMar>
              <w:top w:w="100" w:type="dxa"/>
              <w:left w:w="100" w:type="dxa"/>
              <w:bottom w:w="100" w:type="dxa"/>
              <w:right w:w="100" w:type="dxa"/>
            </w:tcMar>
          </w:tcPr>
          <w:p w14:paraId="606CB4E3" w14:textId="77777777" w:rsidR="0079560F" w:rsidRDefault="0079560F">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3330" w:type="dxa"/>
            <w:shd w:val="clear" w:color="auto" w:fill="auto"/>
            <w:tcMar>
              <w:top w:w="100" w:type="dxa"/>
              <w:left w:w="100" w:type="dxa"/>
              <w:bottom w:w="100" w:type="dxa"/>
              <w:right w:w="100" w:type="dxa"/>
            </w:tcMar>
          </w:tcPr>
          <w:p w14:paraId="4564484C"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330" w:type="dxa"/>
            <w:shd w:val="clear" w:color="auto" w:fill="auto"/>
            <w:tcMar>
              <w:top w:w="100" w:type="dxa"/>
              <w:left w:w="100" w:type="dxa"/>
              <w:bottom w:w="100" w:type="dxa"/>
              <w:right w:w="100" w:type="dxa"/>
            </w:tcMar>
          </w:tcPr>
          <w:p w14:paraId="333671AA"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18.4%</w:t>
            </w:r>
          </w:p>
        </w:tc>
      </w:tr>
      <w:tr w:rsidR="0079560F" w14:paraId="158B7966" w14:textId="77777777">
        <w:tc>
          <w:tcPr>
            <w:tcW w:w="3330" w:type="dxa"/>
            <w:vMerge w:val="restart"/>
            <w:shd w:val="clear" w:color="auto" w:fill="auto"/>
            <w:tcMar>
              <w:top w:w="100" w:type="dxa"/>
              <w:left w:w="100" w:type="dxa"/>
              <w:bottom w:w="100" w:type="dxa"/>
              <w:right w:w="100" w:type="dxa"/>
            </w:tcMar>
          </w:tcPr>
          <w:p w14:paraId="5B128758"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 months</w:t>
            </w:r>
          </w:p>
          <w:p w14:paraId="70DF1FE5" w14:textId="77777777" w:rsidR="0079560F" w:rsidRDefault="0079560F">
            <w:pPr>
              <w:widowControl w:val="0"/>
              <w:spacing w:line="240" w:lineRule="auto"/>
              <w:jc w:val="center"/>
              <w:rPr>
                <w:rFonts w:ascii="Times New Roman" w:eastAsia="Times New Roman" w:hAnsi="Times New Roman" w:cs="Times New Roman"/>
              </w:rPr>
            </w:pPr>
          </w:p>
        </w:tc>
        <w:tc>
          <w:tcPr>
            <w:tcW w:w="3330" w:type="dxa"/>
            <w:shd w:val="clear" w:color="auto" w:fill="auto"/>
            <w:tcMar>
              <w:top w:w="100" w:type="dxa"/>
              <w:left w:w="100" w:type="dxa"/>
              <w:bottom w:w="100" w:type="dxa"/>
              <w:right w:w="100" w:type="dxa"/>
            </w:tcMar>
          </w:tcPr>
          <w:p w14:paraId="3AD787BB"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330" w:type="dxa"/>
            <w:shd w:val="clear" w:color="auto" w:fill="auto"/>
            <w:tcMar>
              <w:top w:w="100" w:type="dxa"/>
              <w:left w:w="100" w:type="dxa"/>
              <w:bottom w:w="100" w:type="dxa"/>
              <w:right w:w="100" w:type="dxa"/>
            </w:tcMar>
          </w:tcPr>
          <w:p w14:paraId="797EEE5E"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33.7%</w:t>
            </w:r>
          </w:p>
        </w:tc>
      </w:tr>
      <w:tr w:rsidR="0079560F" w14:paraId="7E9DE238" w14:textId="77777777">
        <w:tc>
          <w:tcPr>
            <w:tcW w:w="3330" w:type="dxa"/>
            <w:vMerge/>
            <w:shd w:val="clear" w:color="auto" w:fill="auto"/>
            <w:tcMar>
              <w:top w:w="100" w:type="dxa"/>
              <w:left w:w="100" w:type="dxa"/>
              <w:bottom w:w="100" w:type="dxa"/>
              <w:right w:w="100" w:type="dxa"/>
            </w:tcMar>
          </w:tcPr>
          <w:p w14:paraId="22BCEB3D" w14:textId="77777777" w:rsidR="0079560F" w:rsidRDefault="0079560F">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3330" w:type="dxa"/>
            <w:shd w:val="clear" w:color="auto" w:fill="auto"/>
            <w:tcMar>
              <w:top w:w="100" w:type="dxa"/>
              <w:left w:w="100" w:type="dxa"/>
              <w:bottom w:w="100" w:type="dxa"/>
              <w:right w:w="100" w:type="dxa"/>
            </w:tcMar>
          </w:tcPr>
          <w:p w14:paraId="44994AF1"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330" w:type="dxa"/>
            <w:shd w:val="clear" w:color="auto" w:fill="auto"/>
            <w:tcMar>
              <w:top w:w="100" w:type="dxa"/>
              <w:left w:w="100" w:type="dxa"/>
              <w:bottom w:w="100" w:type="dxa"/>
              <w:right w:w="100" w:type="dxa"/>
            </w:tcMar>
          </w:tcPr>
          <w:p w14:paraId="47DCD9D7"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25.0%</w:t>
            </w:r>
          </w:p>
        </w:tc>
      </w:tr>
      <w:tr w:rsidR="0079560F" w14:paraId="5B1AA1E9" w14:textId="77777777">
        <w:tc>
          <w:tcPr>
            <w:tcW w:w="3330" w:type="dxa"/>
            <w:vMerge w:val="restart"/>
            <w:shd w:val="clear" w:color="auto" w:fill="auto"/>
            <w:tcMar>
              <w:top w:w="100" w:type="dxa"/>
              <w:left w:w="100" w:type="dxa"/>
              <w:bottom w:w="100" w:type="dxa"/>
              <w:right w:w="100" w:type="dxa"/>
            </w:tcMar>
          </w:tcPr>
          <w:p w14:paraId="09FC8BBD"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 months</w:t>
            </w:r>
          </w:p>
        </w:tc>
        <w:tc>
          <w:tcPr>
            <w:tcW w:w="3330" w:type="dxa"/>
            <w:shd w:val="clear" w:color="auto" w:fill="auto"/>
            <w:tcMar>
              <w:top w:w="100" w:type="dxa"/>
              <w:left w:w="100" w:type="dxa"/>
              <w:bottom w:w="100" w:type="dxa"/>
              <w:right w:w="100" w:type="dxa"/>
            </w:tcMar>
          </w:tcPr>
          <w:p w14:paraId="38897BD8"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330" w:type="dxa"/>
            <w:shd w:val="clear" w:color="auto" w:fill="auto"/>
            <w:tcMar>
              <w:top w:w="100" w:type="dxa"/>
              <w:left w:w="100" w:type="dxa"/>
              <w:bottom w:w="100" w:type="dxa"/>
              <w:right w:w="100" w:type="dxa"/>
            </w:tcMar>
          </w:tcPr>
          <w:p w14:paraId="0D60F16D"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39.6%</w:t>
            </w:r>
          </w:p>
        </w:tc>
      </w:tr>
      <w:tr w:rsidR="0079560F" w14:paraId="5E8F6582" w14:textId="77777777">
        <w:trPr>
          <w:trHeight w:val="342"/>
        </w:trPr>
        <w:tc>
          <w:tcPr>
            <w:tcW w:w="3330" w:type="dxa"/>
            <w:vMerge/>
            <w:shd w:val="clear" w:color="auto" w:fill="auto"/>
            <w:tcMar>
              <w:top w:w="100" w:type="dxa"/>
              <w:left w:w="100" w:type="dxa"/>
              <w:bottom w:w="100" w:type="dxa"/>
              <w:right w:w="100" w:type="dxa"/>
            </w:tcMar>
          </w:tcPr>
          <w:p w14:paraId="27C25424" w14:textId="77777777" w:rsidR="0079560F" w:rsidRDefault="0079560F">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3330" w:type="dxa"/>
            <w:shd w:val="clear" w:color="auto" w:fill="auto"/>
            <w:tcMar>
              <w:top w:w="100" w:type="dxa"/>
              <w:left w:w="100" w:type="dxa"/>
              <w:bottom w:w="100" w:type="dxa"/>
              <w:right w:w="100" w:type="dxa"/>
            </w:tcMar>
          </w:tcPr>
          <w:p w14:paraId="6522C384"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330" w:type="dxa"/>
            <w:shd w:val="clear" w:color="auto" w:fill="auto"/>
            <w:tcMar>
              <w:top w:w="100" w:type="dxa"/>
              <w:left w:w="100" w:type="dxa"/>
              <w:bottom w:w="100" w:type="dxa"/>
              <w:right w:w="100" w:type="dxa"/>
            </w:tcMar>
          </w:tcPr>
          <w:p w14:paraId="01B38203" w14:textId="77777777" w:rsidR="0079560F" w:rsidRDefault="00B4029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29.7%</w:t>
            </w:r>
          </w:p>
        </w:tc>
      </w:tr>
    </w:tbl>
    <w:p w14:paraId="3E3623D1" w14:textId="77777777" w:rsidR="0079560F" w:rsidRDefault="0079560F">
      <w:pPr>
        <w:rPr>
          <w:rFonts w:ascii="Times New Roman" w:eastAsia="Times New Roman" w:hAnsi="Times New Roman" w:cs="Times New Roman"/>
        </w:rPr>
      </w:pPr>
    </w:p>
    <w:p w14:paraId="3E08CF82"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In the midterm report, we had stated that Kris is willing to accept the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(5%) of his portfolio to be no greater than 20%. We extend this investor attitude to this report. Based on the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estimates, this threshold is first breached in the </w:t>
      </w:r>
      <w:proofErr w:type="gramStart"/>
      <w:r>
        <w:rPr>
          <w:rFonts w:ascii="Times New Roman" w:eastAsia="Times New Roman" w:hAnsi="Times New Roman" w:cs="Times New Roman"/>
        </w:rPr>
        <w:t>6 month</w:t>
      </w:r>
      <w:proofErr w:type="gramEnd"/>
      <w:r>
        <w:rPr>
          <w:rFonts w:ascii="Times New Roman" w:eastAsia="Times New Roman" w:hAnsi="Times New Roman" w:cs="Times New Roman"/>
        </w:rPr>
        <w:t xml:space="preserve"> horizo</w:t>
      </w:r>
      <w:r>
        <w:rPr>
          <w:rFonts w:ascii="Times New Roman" w:eastAsia="Times New Roman" w:hAnsi="Times New Roman" w:cs="Times New Roman"/>
        </w:rPr>
        <w:t xml:space="preserve">n. Thus, we will seek to hedge our portfolio in the </w:t>
      </w:r>
      <w:proofErr w:type="gramStart"/>
      <w:r>
        <w:rPr>
          <w:rFonts w:ascii="Times New Roman" w:eastAsia="Times New Roman" w:hAnsi="Times New Roman" w:cs="Times New Roman"/>
        </w:rPr>
        <w:t>6 month</w:t>
      </w:r>
      <w:proofErr w:type="gramEnd"/>
      <w:r>
        <w:rPr>
          <w:rFonts w:ascii="Times New Roman" w:eastAsia="Times New Roman" w:hAnsi="Times New Roman" w:cs="Times New Roman"/>
        </w:rPr>
        <w:t xml:space="preserve"> horizon, limiting our portfolio loss to no more than 20%.</w:t>
      </w:r>
    </w:p>
    <w:p w14:paraId="730D8C1C"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rPr>
        <w:br/>
      </w:r>
      <w:r>
        <w:rPr>
          <w:rFonts w:ascii="Times New Roman" w:eastAsia="Times New Roman" w:hAnsi="Times New Roman" w:cs="Times New Roman"/>
          <w:i/>
          <w:u w:val="single"/>
        </w:rPr>
        <w:t>Estimation of E(R) and Var(R)</w:t>
      </w:r>
    </w:p>
    <w:p w14:paraId="69C4FEDD"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A weakness of the </w:t>
      </w:r>
      <w:proofErr w:type="gramStart"/>
      <w:r>
        <w:rPr>
          <w:rFonts w:ascii="Times New Roman" w:eastAsia="Times New Roman" w:hAnsi="Times New Roman" w:cs="Times New Roman"/>
        </w:rPr>
        <w:t>aforementioned method</w:t>
      </w:r>
      <w:proofErr w:type="gramEnd"/>
      <w:r>
        <w:rPr>
          <w:rFonts w:ascii="Times New Roman" w:eastAsia="Times New Roman" w:hAnsi="Times New Roman" w:cs="Times New Roman"/>
        </w:rPr>
        <w:t xml:space="preserve"> is that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estimates do not scale well for long-term estimates. Th</w:t>
      </w:r>
      <w:r>
        <w:rPr>
          <w:rFonts w:ascii="Times New Roman" w:eastAsia="Times New Roman" w:hAnsi="Times New Roman" w:cs="Times New Roman"/>
        </w:rPr>
        <w:t xml:space="preserve">us, we seek to calibrate our estimates for E(R) and Var(R) using the CAPM formula. We select the S&amp;P 500 index (^GSPC) as a proxy for the market returns. To estimate beta, we regress our portfolio returns on the index </w:t>
      </w:r>
      <w:r>
        <w:rPr>
          <w:rFonts w:ascii="Times New Roman" w:eastAsia="Times New Roman" w:hAnsi="Times New Roman" w:cs="Times New Roman"/>
        </w:rPr>
        <w:lastRenderedPageBreak/>
        <w:t xml:space="preserve">returns. After which, we simply input </w:t>
      </w:r>
      <w:r>
        <w:rPr>
          <w:rFonts w:ascii="Times New Roman" w:eastAsia="Times New Roman" w:hAnsi="Times New Roman" w:cs="Times New Roman"/>
        </w:rPr>
        <w:t xml:space="preserve">the expected market returns (10%) and the </w:t>
      </w:r>
      <w:proofErr w:type="gramStart"/>
      <w:r>
        <w:rPr>
          <w:rFonts w:ascii="Times New Roman" w:eastAsia="Times New Roman" w:hAnsi="Times New Roman" w:cs="Times New Roman"/>
        </w:rPr>
        <w:t>risk free</w:t>
      </w:r>
      <w:proofErr w:type="gramEnd"/>
      <w:r>
        <w:rPr>
          <w:rFonts w:ascii="Times New Roman" w:eastAsia="Times New Roman" w:hAnsi="Times New Roman" w:cs="Times New Roman"/>
        </w:rPr>
        <w:t xml:space="preserve"> rate (2%) to obtain E(R). </w:t>
      </w:r>
    </w:p>
    <w:p w14:paraId="45724551" w14:textId="77777777" w:rsidR="0079560F" w:rsidRDefault="0079560F">
      <w:pPr>
        <w:rPr>
          <w:rFonts w:ascii="Times New Roman" w:eastAsia="Times New Roman" w:hAnsi="Times New Roman" w:cs="Times New Roman"/>
        </w:rPr>
      </w:pPr>
    </w:p>
    <w:p w14:paraId="4BDA16E2"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To estimate Var(R), we first use the average implied volatility of at-the-money SPX options as an estimate of market volatility. Var(R) is then calculated by taking the square </w:t>
      </w:r>
      <w:r>
        <w:rPr>
          <w:rFonts w:ascii="Times New Roman" w:eastAsia="Times New Roman" w:hAnsi="Times New Roman" w:cs="Times New Roman"/>
        </w:rPr>
        <w:t xml:space="preserve">of market volatility multiplied by beta, divided by the r-square value to account </w:t>
      </w:r>
      <w:proofErr w:type="gramStart"/>
      <w:r>
        <w:rPr>
          <w:rFonts w:ascii="Times New Roman" w:eastAsia="Times New Roman" w:hAnsi="Times New Roman" w:cs="Times New Roman"/>
        </w:rPr>
        <w:t>for the amount of</w:t>
      </w:r>
      <w:proofErr w:type="gramEnd"/>
      <w:r>
        <w:rPr>
          <w:rFonts w:ascii="Times New Roman" w:eastAsia="Times New Roman" w:hAnsi="Times New Roman" w:cs="Times New Roman"/>
        </w:rPr>
        <w:t xml:space="preserve"> variance that is actually explained by the market returns. Our estimates for E(R) and Var(R) are 12.3% and 21.1% respectively. </w:t>
      </w:r>
    </w:p>
    <w:p w14:paraId="08ACA982" w14:textId="77777777" w:rsidR="0079560F" w:rsidRDefault="0079560F">
      <w:pPr>
        <w:rPr>
          <w:rFonts w:ascii="Times New Roman" w:eastAsia="Times New Roman" w:hAnsi="Times New Roman" w:cs="Times New Roman"/>
        </w:rPr>
      </w:pPr>
    </w:p>
    <w:p w14:paraId="62EF85B0"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After obtaining estimates f</w:t>
      </w:r>
      <w:r>
        <w:rPr>
          <w:rFonts w:ascii="Times New Roman" w:eastAsia="Times New Roman" w:hAnsi="Times New Roman" w:cs="Times New Roman"/>
        </w:rPr>
        <w:t xml:space="preserve">or E(R) and Var(R), we proceed to simulate the distribution of our portfolio returns and obtain estimates for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at the 1% and 5% significance levels in a similar manner to the parametric approach taught in class. The values are reflected in the table bel</w:t>
      </w:r>
      <w:r>
        <w:rPr>
          <w:rFonts w:ascii="Times New Roman" w:eastAsia="Times New Roman" w:hAnsi="Times New Roman" w:cs="Times New Roman"/>
        </w:rPr>
        <w:t>ow.</w:t>
      </w:r>
    </w:p>
    <w:p w14:paraId="19E8AA40" w14:textId="77777777" w:rsidR="0079560F" w:rsidRDefault="0079560F">
      <w:pPr>
        <w:rPr>
          <w:rFonts w:ascii="Times New Roman" w:eastAsia="Times New Roman" w:hAnsi="Times New Roman" w:cs="Times New Roman"/>
        </w:rPr>
      </w:pPr>
    </w:p>
    <w:tbl>
      <w:tblPr>
        <w:tblStyle w:val="a0"/>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5745"/>
      </w:tblGrid>
      <w:tr w:rsidR="0079560F" w14:paraId="235BFEA7" w14:textId="77777777">
        <w:trPr>
          <w:trHeight w:val="253"/>
        </w:trPr>
        <w:tc>
          <w:tcPr>
            <w:tcW w:w="4080" w:type="dxa"/>
            <w:vMerge w:val="restart"/>
            <w:shd w:val="clear" w:color="auto" w:fill="CFE2F3"/>
            <w:tcMar>
              <w:top w:w="100" w:type="dxa"/>
              <w:left w:w="100" w:type="dxa"/>
              <w:bottom w:w="100" w:type="dxa"/>
              <w:right w:w="100" w:type="dxa"/>
            </w:tcMar>
          </w:tcPr>
          <w:p w14:paraId="0DD80FA7" w14:textId="77777777" w:rsidR="0079560F" w:rsidRDefault="00B4029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Significance</w:t>
            </w:r>
          </w:p>
        </w:tc>
        <w:tc>
          <w:tcPr>
            <w:tcW w:w="5745" w:type="dxa"/>
            <w:vMerge w:val="restart"/>
            <w:shd w:val="clear" w:color="auto" w:fill="CFE2F3"/>
            <w:tcMar>
              <w:top w:w="100" w:type="dxa"/>
              <w:left w:w="100" w:type="dxa"/>
              <w:bottom w:w="100" w:type="dxa"/>
              <w:right w:w="100" w:type="dxa"/>
            </w:tcMar>
          </w:tcPr>
          <w:p w14:paraId="34DD2833" w14:textId="77777777" w:rsidR="0079560F" w:rsidRDefault="00B40299">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Optimised</w:t>
            </w:r>
            <w:proofErr w:type="spellEnd"/>
            <w:r>
              <w:rPr>
                <w:rFonts w:ascii="Times New Roman" w:eastAsia="Times New Roman" w:hAnsi="Times New Roman" w:cs="Times New Roman"/>
              </w:rPr>
              <w:t xml:space="preserve"> Portfolio </w:t>
            </w:r>
            <w:proofErr w:type="gramStart"/>
            <w:r>
              <w:rPr>
                <w:rFonts w:ascii="Times New Roman" w:eastAsia="Times New Roman" w:hAnsi="Times New Roman" w:cs="Times New Roman"/>
              </w:rPr>
              <w:t>1 year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VaR</w:t>
            </w:r>
            <w:proofErr w:type="spellEnd"/>
          </w:p>
        </w:tc>
      </w:tr>
      <w:tr w:rsidR="0079560F" w14:paraId="3FB8868D" w14:textId="77777777">
        <w:trPr>
          <w:trHeight w:val="253"/>
        </w:trPr>
        <w:tc>
          <w:tcPr>
            <w:tcW w:w="4080" w:type="dxa"/>
            <w:vMerge/>
            <w:shd w:val="clear" w:color="auto" w:fill="CFE2F3"/>
            <w:tcMar>
              <w:top w:w="100" w:type="dxa"/>
              <w:left w:w="100" w:type="dxa"/>
              <w:bottom w:w="100" w:type="dxa"/>
              <w:right w:w="100" w:type="dxa"/>
            </w:tcMar>
          </w:tcPr>
          <w:p w14:paraId="1B450325" w14:textId="77777777" w:rsidR="0079560F" w:rsidRDefault="0079560F">
            <w:pPr>
              <w:widowControl w:val="0"/>
              <w:spacing w:line="240" w:lineRule="auto"/>
              <w:rPr>
                <w:rFonts w:ascii="Times New Roman" w:eastAsia="Times New Roman" w:hAnsi="Times New Roman" w:cs="Times New Roman"/>
              </w:rPr>
            </w:pPr>
          </w:p>
        </w:tc>
        <w:tc>
          <w:tcPr>
            <w:tcW w:w="5745" w:type="dxa"/>
            <w:vMerge/>
            <w:shd w:val="clear" w:color="auto" w:fill="CFE2F3"/>
            <w:tcMar>
              <w:top w:w="100" w:type="dxa"/>
              <w:left w:w="100" w:type="dxa"/>
              <w:bottom w:w="100" w:type="dxa"/>
              <w:right w:w="100" w:type="dxa"/>
            </w:tcMar>
          </w:tcPr>
          <w:p w14:paraId="419657F1" w14:textId="77777777" w:rsidR="0079560F" w:rsidRDefault="0079560F">
            <w:pPr>
              <w:widowControl w:val="0"/>
              <w:pBdr>
                <w:top w:val="nil"/>
                <w:left w:val="nil"/>
                <w:bottom w:val="nil"/>
                <w:right w:val="nil"/>
                <w:between w:val="nil"/>
              </w:pBdr>
              <w:spacing w:line="240" w:lineRule="auto"/>
              <w:rPr>
                <w:rFonts w:ascii="Times New Roman" w:eastAsia="Times New Roman" w:hAnsi="Times New Roman" w:cs="Times New Roman"/>
              </w:rPr>
            </w:pPr>
          </w:p>
        </w:tc>
      </w:tr>
      <w:tr w:rsidR="0079560F" w14:paraId="1678B785" w14:textId="77777777">
        <w:tc>
          <w:tcPr>
            <w:tcW w:w="4080" w:type="dxa"/>
            <w:shd w:val="clear" w:color="auto" w:fill="auto"/>
            <w:tcMar>
              <w:top w:w="100" w:type="dxa"/>
              <w:left w:w="100" w:type="dxa"/>
              <w:bottom w:w="100" w:type="dxa"/>
              <w:right w:w="100" w:type="dxa"/>
            </w:tcMar>
          </w:tcPr>
          <w:p w14:paraId="250EAC6F" w14:textId="77777777" w:rsidR="0079560F" w:rsidRDefault="00B4029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5745" w:type="dxa"/>
            <w:shd w:val="clear" w:color="auto" w:fill="auto"/>
            <w:tcMar>
              <w:top w:w="100" w:type="dxa"/>
              <w:left w:w="100" w:type="dxa"/>
              <w:bottom w:w="100" w:type="dxa"/>
              <w:right w:w="100" w:type="dxa"/>
            </w:tcMar>
          </w:tcPr>
          <w:p w14:paraId="3EF9F6AA" w14:textId="77777777" w:rsidR="0079560F" w:rsidRDefault="00B4029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38.8%</w:t>
            </w:r>
          </w:p>
        </w:tc>
      </w:tr>
      <w:tr w:rsidR="0079560F" w14:paraId="22EFFB9C" w14:textId="77777777">
        <w:tc>
          <w:tcPr>
            <w:tcW w:w="4080" w:type="dxa"/>
            <w:shd w:val="clear" w:color="auto" w:fill="auto"/>
            <w:tcMar>
              <w:top w:w="100" w:type="dxa"/>
              <w:left w:w="100" w:type="dxa"/>
              <w:bottom w:w="100" w:type="dxa"/>
              <w:right w:w="100" w:type="dxa"/>
            </w:tcMar>
          </w:tcPr>
          <w:p w14:paraId="3025220A" w14:textId="77777777" w:rsidR="0079560F" w:rsidRDefault="00B4029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5745" w:type="dxa"/>
            <w:shd w:val="clear" w:color="auto" w:fill="auto"/>
            <w:tcMar>
              <w:top w:w="100" w:type="dxa"/>
              <w:left w:w="100" w:type="dxa"/>
              <w:bottom w:w="100" w:type="dxa"/>
              <w:right w:w="100" w:type="dxa"/>
            </w:tcMar>
          </w:tcPr>
          <w:p w14:paraId="1B97A05E" w14:textId="77777777" w:rsidR="0079560F" w:rsidRDefault="00B40299">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24.4%</w:t>
            </w:r>
          </w:p>
        </w:tc>
      </w:tr>
    </w:tbl>
    <w:p w14:paraId="6B9451C2" w14:textId="77777777" w:rsidR="0079560F" w:rsidRDefault="0079560F">
      <w:pPr>
        <w:rPr>
          <w:rFonts w:ascii="Times New Roman" w:eastAsia="Times New Roman" w:hAnsi="Times New Roman" w:cs="Times New Roman"/>
        </w:rPr>
      </w:pPr>
    </w:p>
    <w:p w14:paraId="34116142" w14:textId="77777777" w:rsidR="0079560F" w:rsidRDefault="00B40299">
      <w:pPr>
        <w:rPr>
          <w:rFonts w:ascii="Times New Roman" w:eastAsia="Times New Roman" w:hAnsi="Times New Roman" w:cs="Times New Roman"/>
        </w:rPr>
      </w:pPr>
      <w:r>
        <w:rPr>
          <w:noProof/>
        </w:rPr>
        <w:drawing>
          <wp:anchor distT="114300" distB="114300" distL="114300" distR="114300" simplePos="0" relativeHeight="251659264" behindDoc="0" locked="0" layoutInCell="1" hidden="0" allowOverlap="1" wp14:anchorId="5A42E7FD" wp14:editId="53CAA981">
            <wp:simplePos x="0" y="0"/>
            <wp:positionH relativeFrom="column">
              <wp:posOffset>19051</wp:posOffset>
            </wp:positionH>
            <wp:positionV relativeFrom="paragraph">
              <wp:posOffset>114300</wp:posOffset>
            </wp:positionV>
            <wp:extent cx="4081274" cy="2328863"/>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081274" cy="2328863"/>
                    </a:xfrm>
                    <a:prstGeom prst="rect">
                      <a:avLst/>
                    </a:prstGeom>
                    <a:ln/>
                  </pic:spPr>
                </pic:pic>
              </a:graphicData>
            </a:graphic>
          </wp:anchor>
        </w:drawing>
      </w:r>
    </w:p>
    <w:p w14:paraId="19CCFC77" w14:textId="77777777" w:rsidR="0079560F" w:rsidRDefault="0079560F">
      <w:pPr>
        <w:jc w:val="center"/>
        <w:rPr>
          <w:rFonts w:ascii="Times New Roman" w:eastAsia="Times New Roman" w:hAnsi="Times New Roman" w:cs="Times New Roman"/>
        </w:rPr>
      </w:pPr>
    </w:p>
    <w:p w14:paraId="67FE32C0"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While the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estimates are lower using this approach the losses at the 5% still exceed our investment attitude of tolerating a maximum 20% loss. In the next step, we describe how we attempted to use options to limit our downside risk for the adjusted port</w:t>
      </w:r>
      <w:r>
        <w:rPr>
          <w:rFonts w:ascii="Times New Roman" w:eastAsia="Times New Roman" w:hAnsi="Times New Roman" w:cs="Times New Roman"/>
        </w:rPr>
        <w:t xml:space="preserve">folio. </w:t>
      </w:r>
    </w:p>
    <w:p w14:paraId="1DEDE192" w14:textId="77777777" w:rsidR="0079560F" w:rsidRDefault="0079560F">
      <w:pPr>
        <w:rPr>
          <w:rFonts w:ascii="Times New Roman" w:eastAsia="Times New Roman" w:hAnsi="Times New Roman" w:cs="Times New Roman"/>
        </w:rPr>
      </w:pPr>
    </w:p>
    <w:p w14:paraId="49F34E25"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i/>
          <w:u w:val="single"/>
        </w:rPr>
        <w:t>Options strategy</w:t>
      </w:r>
    </w:p>
    <w:p w14:paraId="1609AC73"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First, we identified a suitable index to use as a cross hedge. Ideally, the index should have a high correlation with our portfolio so that any losses from the portfolio would be offset by a gain in the put options on the index. Among the various healthcar</w:t>
      </w:r>
      <w:r>
        <w:rPr>
          <w:rFonts w:ascii="Times New Roman" w:eastAsia="Times New Roman" w:hAnsi="Times New Roman" w:cs="Times New Roman"/>
        </w:rPr>
        <w:t xml:space="preserve">e funds, we found that the </w:t>
      </w:r>
      <w:r>
        <w:rPr>
          <w:rFonts w:ascii="Times New Roman" w:eastAsia="Times New Roman" w:hAnsi="Times New Roman" w:cs="Times New Roman"/>
          <w:b/>
        </w:rPr>
        <w:t>Fidelity MSCI Health Care Index ETF (FHLC)</w:t>
      </w:r>
      <w:r>
        <w:rPr>
          <w:rFonts w:ascii="Times New Roman" w:eastAsia="Times New Roman" w:hAnsi="Times New Roman" w:cs="Times New Roman"/>
        </w:rPr>
        <w:t xml:space="preserve"> had the highest </w:t>
      </w:r>
      <w:proofErr w:type="gramStart"/>
      <w:r>
        <w:rPr>
          <w:rFonts w:ascii="Times New Roman" w:eastAsia="Times New Roman" w:hAnsi="Times New Roman" w:cs="Times New Roman"/>
        </w:rPr>
        <w:t>r-square</w:t>
      </w:r>
      <w:proofErr w:type="gramEnd"/>
      <w:r>
        <w:rPr>
          <w:rFonts w:ascii="Times New Roman" w:eastAsia="Times New Roman" w:hAnsi="Times New Roman" w:cs="Times New Roman"/>
        </w:rPr>
        <w:t xml:space="preserve">. </w:t>
      </w:r>
    </w:p>
    <w:p w14:paraId="0C296470" w14:textId="77777777" w:rsidR="0079560F" w:rsidRDefault="0079560F">
      <w:pPr>
        <w:rPr>
          <w:rFonts w:ascii="Times New Roman" w:eastAsia="Times New Roman" w:hAnsi="Times New Roman" w:cs="Times New Roman"/>
        </w:rPr>
      </w:pPr>
    </w:p>
    <w:p w14:paraId="2AFEDA0E"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Next, we selected a suitable option strategy to take. The main options strategies considered were to employ a protective put, covered call or a collar. The pr</w:t>
      </w:r>
      <w:r>
        <w:rPr>
          <w:rFonts w:ascii="Times New Roman" w:eastAsia="Times New Roman" w:hAnsi="Times New Roman" w:cs="Times New Roman"/>
        </w:rPr>
        <w:t xml:space="preserve">otective put and collar strategy may be used to hedge the risk of a portfolio. However, a protective put strategy would be able to limit the downside risk of a portfolio without putting a cap on the profits earned. On the other hand, both the covered call </w:t>
      </w:r>
      <w:r>
        <w:rPr>
          <w:rFonts w:ascii="Times New Roman" w:eastAsia="Times New Roman" w:hAnsi="Times New Roman" w:cs="Times New Roman"/>
        </w:rPr>
        <w:t xml:space="preserve">strategy and the collar strategy cap the maximum profits that could be earned. Given our aggressive investment attitude, a protective put strategy would be best to help Kris achieve high returns while limiting some of his downside risk. </w:t>
      </w:r>
    </w:p>
    <w:p w14:paraId="0E001BDD" w14:textId="77777777" w:rsidR="0079560F" w:rsidRDefault="0079560F">
      <w:pPr>
        <w:rPr>
          <w:rFonts w:ascii="Times New Roman" w:eastAsia="Times New Roman" w:hAnsi="Times New Roman" w:cs="Times New Roman"/>
        </w:rPr>
      </w:pPr>
    </w:p>
    <w:p w14:paraId="3539996B"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i/>
          <w:u w:val="single"/>
        </w:rPr>
        <w:lastRenderedPageBreak/>
        <w:t>Selection of strike price and calculation of weights to hedge</w:t>
      </w:r>
    </w:p>
    <w:p w14:paraId="7DBF772F"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Regressing our portfolio returns on FHLC returns, we obtained a beta coefficient of 1.29 and R-square of </w:t>
      </w:r>
      <w:proofErr w:type="gramStart"/>
      <w:r>
        <w:rPr>
          <w:rFonts w:ascii="Times New Roman" w:eastAsia="Times New Roman" w:hAnsi="Times New Roman" w:cs="Times New Roman"/>
        </w:rPr>
        <w:t>0.72 .</w:t>
      </w:r>
      <w:proofErr w:type="gramEnd"/>
      <w:r>
        <w:rPr>
          <w:rFonts w:ascii="Times New Roman" w:eastAsia="Times New Roman" w:hAnsi="Times New Roman" w:cs="Times New Roman"/>
        </w:rPr>
        <w:t xml:space="preserve"> This means that a 1% movement in the market would approximately correspond to a 1.</w:t>
      </w:r>
      <w:r>
        <w:rPr>
          <w:rFonts w:ascii="Times New Roman" w:eastAsia="Times New Roman" w:hAnsi="Times New Roman" w:cs="Times New Roman"/>
        </w:rPr>
        <w:t>29% movement in our portfolio. Based on our target of limiting losses to 20%, we shortlist put options with strike price at close to 20 / 1.29 = 15.5% below the FHLC spot price on 31st December 2019. Using these criteria, we identify the put option expirin</w:t>
      </w:r>
      <w:r>
        <w:rPr>
          <w:rFonts w:ascii="Times New Roman" w:eastAsia="Times New Roman" w:hAnsi="Times New Roman" w:cs="Times New Roman"/>
        </w:rPr>
        <w:t xml:space="preserve">g in June 2020 with a strike price of 42 as the put option to purchase.  </w:t>
      </w:r>
    </w:p>
    <w:p w14:paraId="354C33B2" w14:textId="77777777" w:rsidR="0079560F" w:rsidRDefault="0079560F">
      <w:pPr>
        <w:rPr>
          <w:rFonts w:ascii="Times New Roman" w:eastAsia="Times New Roman" w:hAnsi="Times New Roman" w:cs="Times New Roman"/>
        </w:rPr>
      </w:pPr>
    </w:p>
    <w:p w14:paraId="4768039D"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Assuming our portfolio’s initial value to be 1 million, we use the FHLC spot price on 31st December 2019 to calculate the number of shares required to cover our portfolio and thus t</w:t>
      </w:r>
      <w:r>
        <w:rPr>
          <w:rFonts w:ascii="Times New Roman" w:eastAsia="Times New Roman" w:hAnsi="Times New Roman" w:cs="Times New Roman"/>
        </w:rPr>
        <w:t xml:space="preserve">he number of option contracts that should be purchased. This value is further scaled by beta so that the options position can offset potential portfolio losses. </w:t>
      </w:r>
    </w:p>
    <w:p w14:paraId="7C5F709A" w14:textId="77777777" w:rsidR="0079560F" w:rsidRDefault="0079560F">
      <w:pPr>
        <w:rPr>
          <w:rFonts w:ascii="Times New Roman" w:eastAsia="Times New Roman" w:hAnsi="Times New Roman" w:cs="Times New Roman"/>
        </w:rPr>
      </w:pPr>
    </w:p>
    <w:p w14:paraId="746FCA97"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i/>
          <w:u w:val="single"/>
        </w:rPr>
        <w:t>Analysis of hedge performance</w:t>
      </w:r>
    </w:p>
    <w:p w14:paraId="7FBBEC6D"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To </w:t>
      </w:r>
      <w:proofErr w:type="spellStart"/>
      <w:r>
        <w:rPr>
          <w:rFonts w:ascii="Times New Roman" w:eastAsia="Times New Roman" w:hAnsi="Times New Roman" w:cs="Times New Roman"/>
        </w:rPr>
        <w:t>analyse</w:t>
      </w:r>
      <w:proofErr w:type="spellEnd"/>
      <w:r>
        <w:rPr>
          <w:rFonts w:ascii="Times New Roman" w:eastAsia="Times New Roman" w:hAnsi="Times New Roman" w:cs="Times New Roman"/>
        </w:rPr>
        <w:t xml:space="preserve"> the performance of our hedge, we simulate a range of</w:t>
      </w:r>
      <w:r>
        <w:rPr>
          <w:rFonts w:ascii="Times New Roman" w:eastAsia="Times New Roman" w:hAnsi="Times New Roman" w:cs="Times New Roman"/>
        </w:rPr>
        <w:t xml:space="preserve"> scenarios (shocks) to our portfolio value. In this analysis, we assume that the beta relationship holds and that the index moves accordingly. The plot below describes the portfolio payoff based on the various scenarios. As observed, portfolio losses great</w:t>
      </w:r>
      <w:r>
        <w:rPr>
          <w:rFonts w:ascii="Times New Roman" w:eastAsia="Times New Roman" w:hAnsi="Times New Roman" w:cs="Times New Roman"/>
        </w:rPr>
        <w:t xml:space="preserve">er than 20% are offset by gains from the puts, thereby limiting the entire portfolio loss to no greater than 20%. </w:t>
      </w:r>
    </w:p>
    <w:p w14:paraId="676A0F40" w14:textId="77777777" w:rsidR="0079560F" w:rsidRDefault="00B40299">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D5967A" wp14:editId="3CFA8D47">
            <wp:extent cx="5302394" cy="2762673"/>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302394" cy="2762673"/>
                    </a:xfrm>
                    <a:prstGeom prst="rect">
                      <a:avLst/>
                    </a:prstGeom>
                    <a:ln/>
                  </pic:spPr>
                </pic:pic>
              </a:graphicData>
            </a:graphic>
          </wp:inline>
        </w:drawing>
      </w:r>
    </w:p>
    <w:p w14:paraId="6AD7FB9D"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However, such an approach is unrealistic as it does not consider the premium paid to purchase the put options. We use the best offer listed</w:t>
      </w:r>
      <w:r>
        <w:rPr>
          <w:rFonts w:ascii="Times New Roman" w:eastAsia="Times New Roman" w:hAnsi="Times New Roman" w:cs="Times New Roman"/>
        </w:rPr>
        <w:t xml:space="preserve"> in the table as the premium of the option contracts. Since the premiums listed are approximately 3, we adjust the strike price of the options purchased to 42 + 3 = 45. The premium for this option is 3.3. Based on this, we calculate the weight allocated to</w:t>
      </w:r>
      <w:r>
        <w:rPr>
          <w:rFonts w:ascii="Times New Roman" w:eastAsia="Times New Roman" w:hAnsi="Times New Roman" w:cs="Times New Roman"/>
        </w:rPr>
        <w:t xml:space="preserve"> the hedge to be 7.99% (see Appendix D for details). The plot below describes the profits and losses (</w:t>
      </w:r>
      <w:proofErr w:type="spellStart"/>
      <w:r>
        <w:rPr>
          <w:rFonts w:ascii="Times New Roman" w:eastAsia="Times New Roman" w:hAnsi="Times New Roman" w:cs="Times New Roman"/>
        </w:rPr>
        <w:t>PnL</w:t>
      </w:r>
      <w:proofErr w:type="spellEnd"/>
      <w:r>
        <w:rPr>
          <w:rFonts w:ascii="Times New Roman" w:eastAsia="Times New Roman" w:hAnsi="Times New Roman" w:cs="Times New Roman"/>
        </w:rPr>
        <w:t xml:space="preserve">) of the strategy based on a similar analysis as above. </w:t>
      </w:r>
    </w:p>
    <w:p w14:paraId="7ADCAF6A" w14:textId="399EF125" w:rsidR="0079560F" w:rsidRDefault="00B40299">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30AB727" wp14:editId="7D21559D">
            <wp:extent cx="5210175" cy="257175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210175" cy="2571750"/>
                    </a:xfrm>
                    <a:prstGeom prst="rect">
                      <a:avLst/>
                    </a:prstGeom>
                    <a:ln/>
                  </pic:spPr>
                </pic:pic>
              </a:graphicData>
            </a:graphic>
          </wp:inline>
        </w:drawing>
      </w:r>
      <w:r>
        <w:rPr>
          <w:rFonts w:ascii="Times New Roman" w:eastAsia="Times New Roman" w:hAnsi="Times New Roman" w:cs="Times New Roman"/>
        </w:rPr>
        <w:t xml:space="preserve"> </w:t>
      </w:r>
    </w:p>
    <w:p w14:paraId="7F427F99"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While the maximum loss is still limited to roughly 20% of the initial portfolio value, we o</w:t>
      </w:r>
      <w:r>
        <w:rPr>
          <w:rFonts w:ascii="Times New Roman" w:eastAsia="Times New Roman" w:hAnsi="Times New Roman" w:cs="Times New Roman"/>
        </w:rPr>
        <w:t xml:space="preserve">bserve that the distribution of returns is highly asymmetrical around 0. If the portfolio loses less than 20% of its value and the options expire out of the money, our losses are amplified by the options’ position. Any portfolio gains are also muted for a </w:t>
      </w:r>
      <w:r>
        <w:rPr>
          <w:rFonts w:ascii="Times New Roman" w:eastAsia="Times New Roman" w:hAnsi="Times New Roman" w:cs="Times New Roman"/>
        </w:rPr>
        <w:t xml:space="preserve">similar reason. This shows that financing such a hedging strategy is expensive. Furthermore, allocating 7.99% of our portfolio to a hedge seems excessive when we consider that the expected returns are only around 12.3%. </w:t>
      </w:r>
    </w:p>
    <w:p w14:paraId="352607CB" w14:textId="041ABE36" w:rsidR="0079560F" w:rsidRDefault="0079560F">
      <w:pPr>
        <w:rPr>
          <w:rFonts w:ascii="Times New Roman" w:eastAsia="Times New Roman" w:hAnsi="Times New Roman" w:cs="Times New Roman"/>
        </w:rPr>
      </w:pPr>
    </w:p>
    <w:p w14:paraId="0F05D04A"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To overcome this, we tried to use </w:t>
      </w:r>
      <w:r>
        <w:rPr>
          <w:rFonts w:ascii="Times New Roman" w:eastAsia="Times New Roman" w:hAnsi="Times New Roman" w:cs="Times New Roman"/>
        </w:rPr>
        <w:t xml:space="preserve">a collar options strategy by simultaneously writing the same number of calls as puts purchased. </w:t>
      </w:r>
      <w:proofErr w:type="spellStart"/>
      <w:r>
        <w:rPr>
          <w:rFonts w:ascii="Times New Roman" w:eastAsia="Times New Roman" w:hAnsi="Times New Roman" w:cs="Times New Roman"/>
        </w:rPr>
        <w:t>Rationalising</w:t>
      </w:r>
      <w:proofErr w:type="spellEnd"/>
      <w:r>
        <w:rPr>
          <w:rFonts w:ascii="Times New Roman" w:eastAsia="Times New Roman" w:hAnsi="Times New Roman" w:cs="Times New Roman"/>
        </w:rPr>
        <w:t xml:space="preserve"> that we were willing to forgo the top 25% of returns based on the simulated distribution, we calculated the equivalent price of FHLC in such a sce</w:t>
      </w:r>
      <w:r>
        <w:rPr>
          <w:rFonts w:ascii="Times New Roman" w:eastAsia="Times New Roman" w:hAnsi="Times New Roman" w:cs="Times New Roman"/>
        </w:rPr>
        <w:t xml:space="preserve">nario to be 53.8. Thus, we chose the call option listed with the highest strike price at 51 to take a short position. In this strategy, we selected the put option at strike price of 47 so that the strike prices were ‘equidistant’ from the FHLC spot price. </w:t>
      </w:r>
      <w:r>
        <w:rPr>
          <w:rFonts w:ascii="Times New Roman" w:eastAsia="Times New Roman" w:hAnsi="Times New Roman" w:cs="Times New Roman"/>
        </w:rPr>
        <w:t>However, the strategy was unsuccessful as the premium collected from the calls was only 0.15 - a fraction of the premium of 3.3 paid for the puts. Thus, we decided not to pursue such a strategy.</w:t>
      </w:r>
    </w:p>
    <w:p w14:paraId="6D145CAE" w14:textId="77777777" w:rsidR="0079560F" w:rsidRDefault="0079560F">
      <w:pPr>
        <w:rPr>
          <w:rFonts w:ascii="Times New Roman" w:eastAsia="Times New Roman" w:hAnsi="Times New Roman" w:cs="Times New Roman"/>
          <w:i/>
          <w:u w:val="single"/>
        </w:rPr>
      </w:pPr>
    </w:p>
    <w:p w14:paraId="41346916"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i/>
          <w:u w:val="single"/>
        </w:rPr>
        <w:t>Portfolio Performance with Hedge</w:t>
      </w:r>
    </w:p>
    <w:p w14:paraId="2DF65B90" w14:textId="0E9812A8" w:rsidR="0079560F" w:rsidRDefault="008B7BDF">
      <w:pPr>
        <w:rPr>
          <w:rFonts w:ascii="Times New Roman" w:eastAsia="Times New Roman" w:hAnsi="Times New Roman" w:cs="Times New Roman"/>
        </w:rPr>
      </w:pPr>
      <w:r>
        <w:rPr>
          <w:noProof/>
        </w:rPr>
        <w:drawing>
          <wp:inline distT="0" distB="0" distL="0" distR="0" wp14:anchorId="7B1079F0" wp14:editId="4222F442">
            <wp:extent cx="5886450" cy="2279650"/>
            <wp:effectExtent l="0" t="0" r="0" b="635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886450" cy="2279650"/>
                    </a:xfrm>
                    <a:prstGeom prst="rect">
                      <a:avLst/>
                    </a:prstGeom>
                    <a:ln/>
                  </pic:spPr>
                </pic:pic>
              </a:graphicData>
            </a:graphic>
          </wp:inline>
        </w:drawing>
      </w:r>
    </w:p>
    <w:p w14:paraId="5F235BF5" w14:textId="77777777" w:rsidR="0079560F" w:rsidRDefault="0079560F">
      <w:pPr>
        <w:rPr>
          <w:rFonts w:ascii="Times New Roman" w:eastAsia="Times New Roman" w:hAnsi="Times New Roman" w:cs="Times New Roman"/>
        </w:rPr>
      </w:pPr>
    </w:p>
    <w:p w14:paraId="6A8BAC21"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lastRenderedPageBreak/>
        <w:t xml:space="preserve"> </w:t>
      </w:r>
      <w:proofErr w:type="gramStart"/>
      <w:r>
        <w:rPr>
          <w:rFonts w:ascii="Times New Roman" w:eastAsia="Times New Roman" w:hAnsi="Times New Roman" w:cs="Times New Roman"/>
        </w:rPr>
        <w:t>In reality, the</w:t>
      </w:r>
      <w:proofErr w:type="gramEnd"/>
      <w:r>
        <w:rPr>
          <w:rFonts w:ascii="Times New Roman" w:eastAsia="Times New Roman" w:hAnsi="Times New Roman" w:cs="Times New Roman"/>
        </w:rPr>
        <w:t xml:space="preserve"> options expired out of the money as both FHLC and our portfolio had positive returns in June 2020. Thus, our portfolio </w:t>
      </w:r>
      <w:proofErr w:type="gramStart"/>
      <w:r>
        <w:rPr>
          <w:rFonts w:ascii="Times New Roman" w:eastAsia="Times New Roman" w:hAnsi="Times New Roman" w:cs="Times New Roman"/>
        </w:rPr>
        <w:t>actually had</w:t>
      </w:r>
      <w:proofErr w:type="gramEnd"/>
      <w:r>
        <w:rPr>
          <w:rFonts w:ascii="Times New Roman" w:eastAsia="Times New Roman" w:hAnsi="Times New Roman" w:cs="Times New Roman"/>
        </w:rPr>
        <w:t xml:space="preserve"> a net loss despite the stocks having positive returns. These findings </w:t>
      </w:r>
      <w:proofErr w:type="spellStart"/>
      <w:r>
        <w:rPr>
          <w:rFonts w:ascii="Times New Roman" w:eastAsia="Times New Roman" w:hAnsi="Times New Roman" w:cs="Times New Roman"/>
        </w:rPr>
        <w:t>emphasise</w:t>
      </w:r>
      <w:proofErr w:type="spellEnd"/>
      <w:r>
        <w:rPr>
          <w:rFonts w:ascii="Times New Roman" w:eastAsia="Times New Roman" w:hAnsi="Times New Roman" w:cs="Times New Roman"/>
        </w:rPr>
        <w:t xml:space="preserve"> the cost of financing a hedging strategy.</w:t>
      </w:r>
    </w:p>
    <w:p w14:paraId="0B575DEF" w14:textId="77777777" w:rsidR="0079560F" w:rsidRDefault="0079560F">
      <w:pPr>
        <w:rPr>
          <w:rFonts w:ascii="Times New Roman" w:eastAsia="Times New Roman" w:hAnsi="Times New Roman" w:cs="Times New Roman"/>
        </w:rPr>
      </w:pPr>
    </w:p>
    <w:p w14:paraId="31BB5B8A" w14:textId="77777777" w:rsidR="0079560F" w:rsidRDefault="00B40299">
      <w:pPr>
        <w:rPr>
          <w:rFonts w:ascii="Times New Roman" w:eastAsia="Times New Roman" w:hAnsi="Times New Roman" w:cs="Times New Roman"/>
          <w:b/>
        </w:rPr>
      </w:pPr>
      <w:r>
        <w:rPr>
          <w:rFonts w:ascii="Times New Roman" w:eastAsia="Times New Roman" w:hAnsi="Times New Roman" w:cs="Times New Roman"/>
          <w:b/>
        </w:rPr>
        <w:t>Section 3: Stock Forecasting</w:t>
      </w:r>
    </w:p>
    <w:p w14:paraId="7BB37C12" w14:textId="77777777" w:rsidR="0079560F" w:rsidRDefault="00B40299">
      <w:pPr>
        <w:rPr>
          <w:rFonts w:ascii="Times New Roman" w:eastAsia="Times New Roman" w:hAnsi="Times New Roman" w:cs="Times New Roman"/>
        </w:rPr>
      </w:pPr>
      <w:r>
        <w:rPr>
          <w:rFonts w:ascii="Times New Roman" w:eastAsia="Times New Roman" w:hAnsi="Times New Roman" w:cs="Times New Roman"/>
          <w:i/>
          <w:u w:val="single"/>
        </w:rPr>
        <w:t xml:space="preserve">Data preprocessing &amp; feature engineering. </w:t>
      </w:r>
    </w:p>
    <w:p w14:paraId="2FABAE8F"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The dependent variable in our problem is the monthly alpha of a given asset. This was calculated by taking a rolling window of the daily returns of a given asset and regressing it on the daily returns of the S&amp;P 500 index for the same given month. The esti</w:t>
      </w:r>
      <w:r>
        <w:rPr>
          <w:rFonts w:ascii="Times New Roman" w:eastAsia="Times New Roman" w:hAnsi="Times New Roman" w:cs="Times New Roman"/>
        </w:rPr>
        <w:t>mate for alpha would be the intercept term from the results of the regression. We chose to forecast the values for alpha as it would give us an understanding about whether the asset returns were simply driven by market returns or some other exogenous facto</w:t>
      </w:r>
      <w:r>
        <w:rPr>
          <w:rFonts w:ascii="Times New Roman" w:eastAsia="Times New Roman" w:hAnsi="Times New Roman" w:cs="Times New Roman"/>
        </w:rPr>
        <w:t xml:space="preserve">r. </w:t>
      </w:r>
    </w:p>
    <w:p w14:paraId="68546CB4" w14:textId="77777777" w:rsidR="0079560F" w:rsidRDefault="0079560F">
      <w:pPr>
        <w:rPr>
          <w:rFonts w:ascii="Times New Roman" w:eastAsia="Times New Roman" w:hAnsi="Times New Roman" w:cs="Times New Roman"/>
        </w:rPr>
      </w:pPr>
    </w:p>
    <w:p w14:paraId="09DB1D8B"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To train our model, we downloaded the historical data of over 700 stocks that were classified under the biotechnology industry according to yahoo finance. We reasoned that in only training the model on stocks from this industry, it would be able to pi</w:t>
      </w:r>
      <w:r>
        <w:rPr>
          <w:rFonts w:ascii="Times New Roman" w:eastAsia="Times New Roman" w:hAnsi="Times New Roman" w:cs="Times New Roman"/>
        </w:rPr>
        <w:t xml:space="preserve">ck up on the relationships unique to this industry between the feature variables and the dependent variable. Data was downloaded starting from 2018 to preprocess the features, and data from 2019 onward was used as training data. </w:t>
      </w:r>
    </w:p>
    <w:p w14:paraId="36092368" w14:textId="77777777" w:rsidR="0079560F" w:rsidRDefault="0079560F">
      <w:pPr>
        <w:rPr>
          <w:rFonts w:ascii="Times New Roman" w:eastAsia="Times New Roman" w:hAnsi="Times New Roman" w:cs="Times New Roman"/>
        </w:rPr>
      </w:pPr>
    </w:p>
    <w:p w14:paraId="17A01251"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In our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model, we </w:t>
      </w:r>
      <w:r>
        <w:rPr>
          <w:rFonts w:ascii="Times New Roman" w:eastAsia="Times New Roman" w:hAnsi="Times New Roman" w:cs="Times New Roman"/>
        </w:rPr>
        <w:t xml:space="preserve">made use of the closing price, daily returns, normalized </w:t>
      </w:r>
      <w:proofErr w:type="gramStart"/>
      <w:r>
        <w:rPr>
          <w:rFonts w:ascii="Times New Roman" w:eastAsia="Times New Roman" w:hAnsi="Times New Roman" w:cs="Times New Roman"/>
        </w:rPr>
        <w:t>volume</w:t>
      </w:r>
      <w:proofErr w:type="gramEnd"/>
      <w:r>
        <w:rPr>
          <w:rFonts w:ascii="Times New Roman" w:eastAsia="Times New Roman" w:hAnsi="Times New Roman" w:cs="Times New Roman"/>
        </w:rPr>
        <w:t xml:space="preserve"> and several common technical indicators as the features. The full list of indicators and their usefulness can be found in Appendix E. Data on ‘Open’, ‘High’, ‘Low’, and ‘Adj Close’ were not us</w:t>
      </w:r>
      <w:r>
        <w:rPr>
          <w:rFonts w:ascii="Times New Roman" w:eastAsia="Times New Roman" w:hAnsi="Times New Roman" w:cs="Times New Roman"/>
        </w:rPr>
        <w:t>ed since they can be approximated relatively well using EMA and other indicators. In addition, the volume was normalized because they typically correlate with price fluctuations.</w:t>
      </w:r>
    </w:p>
    <w:p w14:paraId="72EB767A" w14:textId="77777777" w:rsidR="0079560F" w:rsidRDefault="0079560F">
      <w:pPr>
        <w:rPr>
          <w:rFonts w:ascii="Times New Roman" w:eastAsia="Times New Roman" w:hAnsi="Times New Roman" w:cs="Times New Roman"/>
        </w:rPr>
      </w:pPr>
    </w:p>
    <w:p w14:paraId="4E2D2A58"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To prepare the data for our model, we began by computing all the features re</w:t>
      </w:r>
      <w:r>
        <w:rPr>
          <w:rFonts w:ascii="Times New Roman" w:eastAsia="Times New Roman" w:hAnsi="Times New Roman" w:cs="Times New Roman"/>
        </w:rPr>
        <w:t xml:space="preserve">quired for each of the 758 stocks. The time series data is resampled by aggregating daily data to monthly, taking the last observation of each month. Individual stock’s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is then combined into a single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which is used as the dataset for our</w:t>
      </w:r>
      <w:r>
        <w:rPr>
          <w:rFonts w:ascii="Times New Roman" w:eastAsia="Times New Roman" w:hAnsi="Times New Roman" w:cs="Times New Roman"/>
        </w:rPr>
        <w:t xml:space="preserve"> model. To make the alpha predictions for each month from January 2020 to October 2020, we use data from the past 12 months as our training and validation set, with inputs from month t-1. The train-test splits are not randomized here to avoid data leakage.</w:t>
      </w:r>
      <w:r>
        <w:rPr>
          <w:rFonts w:ascii="Times New Roman" w:eastAsia="Times New Roman" w:hAnsi="Times New Roman" w:cs="Times New Roman"/>
        </w:rPr>
        <w:t xml:space="preserve"> The latest month is used for validation while the remaining 11 months are used for training our model. For instance, to predict the monthly alpha for January 2020, we use data from January 2019 to November 2019 to train our model and data in December 2019</w:t>
      </w:r>
      <w:r>
        <w:rPr>
          <w:rFonts w:ascii="Times New Roman" w:eastAsia="Times New Roman" w:hAnsi="Times New Roman" w:cs="Times New Roman"/>
        </w:rPr>
        <w:t xml:space="preserve"> to validate our model’s performance.</w:t>
      </w:r>
    </w:p>
    <w:p w14:paraId="35BE4DE8" w14:textId="77777777" w:rsidR="0079560F" w:rsidRDefault="0079560F">
      <w:pPr>
        <w:rPr>
          <w:rFonts w:ascii="Times New Roman" w:eastAsia="Times New Roman" w:hAnsi="Times New Roman" w:cs="Times New Roman"/>
          <w:i/>
          <w:u w:val="single"/>
        </w:rPr>
      </w:pPr>
    </w:p>
    <w:p w14:paraId="60BF9240"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i/>
          <w:u w:val="single"/>
        </w:rPr>
        <w:t>Application to portfolio management</w:t>
      </w:r>
    </w:p>
    <w:p w14:paraId="305A7A57"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In the midterm report, we used analyst target prices as input for our ‘views’ on the future performance of the various assets. We take a similar approach here to </w:t>
      </w:r>
      <w:proofErr w:type="spellStart"/>
      <w:r>
        <w:rPr>
          <w:rFonts w:ascii="Times New Roman" w:eastAsia="Times New Roman" w:hAnsi="Times New Roman" w:cs="Times New Roman"/>
        </w:rPr>
        <w:t>synthesise</w:t>
      </w:r>
      <w:proofErr w:type="spellEnd"/>
      <w:r>
        <w:rPr>
          <w:rFonts w:ascii="Times New Roman" w:eastAsia="Times New Roman" w:hAnsi="Times New Roman" w:cs="Times New Roman"/>
        </w:rPr>
        <w:t xml:space="preserve"> the pred</w:t>
      </w:r>
      <w:r>
        <w:rPr>
          <w:rFonts w:ascii="Times New Roman" w:eastAsia="Times New Roman" w:hAnsi="Times New Roman" w:cs="Times New Roman"/>
        </w:rPr>
        <w:t>ictions from our forecasting model with historical market-implied returns using the Black-</w:t>
      </w:r>
      <w:proofErr w:type="spellStart"/>
      <w:r>
        <w:rPr>
          <w:rFonts w:ascii="Times New Roman" w:eastAsia="Times New Roman" w:hAnsi="Times New Roman" w:cs="Times New Roman"/>
        </w:rPr>
        <w:t>litterman</w:t>
      </w:r>
      <w:proofErr w:type="spellEnd"/>
      <w:r>
        <w:rPr>
          <w:rFonts w:ascii="Times New Roman" w:eastAsia="Times New Roman" w:hAnsi="Times New Roman" w:cs="Times New Roman"/>
        </w:rPr>
        <w:t xml:space="preserve"> (BL) model. </w:t>
      </w:r>
    </w:p>
    <w:p w14:paraId="1A143453" w14:textId="77777777" w:rsidR="0079560F" w:rsidRDefault="0079560F">
      <w:pPr>
        <w:jc w:val="center"/>
        <w:rPr>
          <w:rFonts w:ascii="Times New Roman" w:eastAsia="Times New Roman" w:hAnsi="Times New Roman" w:cs="Times New Roman"/>
        </w:rPr>
      </w:pPr>
    </w:p>
    <w:p w14:paraId="14280A07"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model first outputs an estimate for the predicted alpha of an asset in the upcoming month. To generate a forecast (view) on the fu</w:t>
      </w:r>
      <w:r>
        <w:rPr>
          <w:rFonts w:ascii="Times New Roman" w:eastAsia="Times New Roman" w:hAnsi="Times New Roman" w:cs="Times New Roman"/>
        </w:rPr>
        <w:t xml:space="preserve">ture returns of the asset, we first estimate the </w:t>
      </w:r>
      <w:proofErr w:type="gramStart"/>
      <w:r>
        <w:rPr>
          <w:rFonts w:ascii="Times New Roman" w:eastAsia="Times New Roman" w:hAnsi="Times New Roman" w:cs="Times New Roman"/>
        </w:rPr>
        <w:t>1 year</w:t>
      </w:r>
      <w:proofErr w:type="gramEnd"/>
      <w:r>
        <w:rPr>
          <w:rFonts w:ascii="Times New Roman" w:eastAsia="Times New Roman" w:hAnsi="Times New Roman" w:cs="Times New Roman"/>
        </w:rPr>
        <w:t xml:space="preserve"> beta of the asset with the S&amp;P 500 index. As an input to the CAPM equation, we use the average S&amp;P 500 monthly return over the past 1 year, and the </w:t>
      </w:r>
      <w:proofErr w:type="gramStart"/>
      <w:r>
        <w:rPr>
          <w:rFonts w:ascii="Times New Roman" w:eastAsia="Times New Roman" w:hAnsi="Times New Roman" w:cs="Times New Roman"/>
        </w:rPr>
        <w:t>1 month</w:t>
      </w:r>
      <w:proofErr w:type="gramEnd"/>
      <w:r>
        <w:rPr>
          <w:rFonts w:ascii="Times New Roman" w:eastAsia="Times New Roman" w:hAnsi="Times New Roman" w:cs="Times New Roman"/>
        </w:rPr>
        <w:t xml:space="preserve"> treasury yield rate as the risk free rate. F</w:t>
      </w:r>
      <w:r>
        <w:rPr>
          <w:rFonts w:ascii="Times New Roman" w:eastAsia="Times New Roman" w:hAnsi="Times New Roman" w:cs="Times New Roman"/>
        </w:rPr>
        <w:t xml:space="preserve">inally, we estimate the future returns of the risky assets using our model forecasts for alpha and the estimated beta to be input as ‘views’ in the BL model. </w:t>
      </w:r>
    </w:p>
    <w:p w14:paraId="5F157905" w14:textId="77777777" w:rsidR="0079560F" w:rsidRDefault="0079560F">
      <w:pPr>
        <w:rPr>
          <w:rFonts w:ascii="Times New Roman" w:eastAsia="Times New Roman" w:hAnsi="Times New Roman" w:cs="Times New Roman"/>
        </w:rPr>
      </w:pPr>
    </w:p>
    <w:p w14:paraId="55D0A3C9"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The BL model also allows users to specify their confidence about their views. Since this essenti</w:t>
      </w:r>
      <w:r>
        <w:rPr>
          <w:rFonts w:ascii="Times New Roman" w:eastAsia="Times New Roman" w:hAnsi="Times New Roman" w:cs="Times New Roman"/>
        </w:rPr>
        <w:t xml:space="preserve">ally describes our confidence in the model’s forecasts, we select a level of confidence based on the model’s performance on the validation set. We trained a classification model in parallel with the regression model to predict the sign of the alpha value. </w:t>
      </w:r>
      <w:r>
        <w:rPr>
          <w:rFonts w:ascii="Times New Roman" w:eastAsia="Times New Roman" w:hAnsi="Times New Roman" w:cs="Times New Roman"/>
        </w:rPr>
        <w:t xml:space="preserve">The performance of this classification model on the validation set was used as the level of confidence placed on the model forecasts. </w:t>
      </w:r>
    </w:p>
    <w:p w14:paraId="4028303C" w14:textId="77777777" w:rsidR="0079560F" w:rsidRDefault="0079560F">
      <w:pPr>
        <w:rPr>
          <w:rFonts w:ascii="Times New Roman" w:eastAsia="Times New Roman" w:hAnsi="Times New Roman" w:cs="Times New Roman"/>
        </w:rPr>
      </w:pPr>
    </w:p>
    <w:p w14:paraId="60CF3BF2" w14:textId="77777777" w:rsidR="0079560F" w:rsidRDefault="00B40299">
      <w:pPr>
        <w:rPr>
          <w:rFonts w:ascii="Times New Roman" w:eastAsia="Times New Roman" w:hAnsi="Times New Roman" w:cs="Times New Roman"/>
          <w:highlight w:val="white"/>
        </w:rPr>
      </w:pPr>
      <w:r>
        <w:rPr>
          <w:rFonts w:ascii="Times New Roman" w:eastAsia="Times New Roman" w:hAnsi="Times New Roman" w:cs="Times New Roman"/>
          <w:i/>
          <w:u w:val="single"/>
        </w:rPr>
        <w:t>Results</w:t>
      </w:r>
    </w:p>
    <w:p w14:paraId="093B9E11" w14:textId="77777777" w:rsidR="0079560F" w:rsidRDefault="00B40299">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After we obtained the posteriors from the BL model, we ran the same </w:t>
      </w:r>
      <w:proofErr w:type="spellStart"/>
      <w:r>
        <w:rPr>
          <w:rFonts w:ascii="Times New Roman" w:eastAsia="Times New Roman" w:hAnsi="Times New Roman" w:cs="Times New Roman"/>
          <w:highlight w:val="white"/>
        </w:rPr>
        <w:t>optimisation</w:t>
      </w:r>
      <w:proofErr w:type="spellEnd"/>
      <w:r>
        <w:rPr>
          <w:rFonts w:ascii="Times New Roman" w:eastAsia="Times New Roman" w:hAnsi="Times New Roman" w:cs="Times New Roman"/>
          <w:highlight w:val="white"/>
        </w:rPr>
        <w:t xml:space="preserve"> process as we did for the midterm report to obtain portfolio weights. To benchmark the performance of our approach with the </w:t>
      </w:r>
      <w:proofErr w:type="spellStart"/>
      <w:r>
        <w:rPr>
          <w:rFonts w:ascii="Times New Roman" w:eastAsia="Times New Roman" w:hAnsi="Times New Roman" w:cs="Times New Roman"/>
          <w:highlight w:val="white"/>
        </w:rPr>
        <w:t>XGBoost</w:t>
      </w:r>
      <w:proofErr w:type="spellEnd"/>
      <w:r>
        <w:rPr>
          <w:rFonts w:ascii="Times New Roman" w:eastAsia="Times New Roman" w:hAnsi="Times New Roman" w:cs="Times New Roman"/>
          <w:highlight w:val="white"/>
        </w:rPr>
        <w:t xml:space="preserve"> model, we obtained analyst target prices in</w:t>
      </w:r>
      <w:r>
        <w:rPr>
          <w:rFonts w:ascii="Times New Roman" w:eastAsia="Times New Roman" w:hAnsi="Times New Roman" w:cs="Times New Roman"/>
          <w:highlight w:val="white"/>
        </w:rPr>
        <w:t xml:space="preserve"> September 2020 as an alternative market outlook. After which, we compared the performance of the portfolios that resulted from these two </w:t>
      </w:r>
      <w:proofErr w:type="spellStart"/>
      <w:r>
        <w:rPr>
          <w:rFonts w:ascii="Times New Roman" w:eastAsia="Times New Roman" w:hAnsi="Times New Roman" w:cs="Times New Roman"/>
          <w:highlight w:val="white"/>
        </w:rPr>
        <w:t>optimisation</w:t>
      </w:r>
      <w:proofErr w:type="spellEnd"/>
      <w:r>
        <w:rPr>
          <w:rFonts w:ascii="Times New Roman" w:eastAsia="Times New Roman" w:hAnsi="Times New Roman" w:cs="Times New Roman"/>
          <w:highlight w:val="white"/>
        </w:rPr>
        <w:t xml:space="preserve"> processes. </w:t>
      </w:r>
    </w:p>
    <w:p w14:paraId="4F2B9BE9" w14:textId="77777777" w:rsidR="0079560F" w:rsidRDefault="0079560F">
      <w:pPr>
        <w:rPr>
          <w:rFonts w:ascii="Times New Roman" w:eastAsia="Times New Roman" w:hAnsi="Times New Roman" w:cs="Times New Roman"/>
        </w:rPr>
      </w:pPr>
    </w:p>
    <w:p w14:paraId="57091A27"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The table below describes the various metrics of the respective portfolio’s performance in O</w:t>
      </w:r>
      <w:r>
        <w:rPr>
          <w:rFonts w:ascii="Times New Roman" w:eastAsia="Times New Roman" w:hAnsi="Times New Roman" w:cs="Times New Roman"/>
        </w:rPr>
        <w:t xml:space="preserve">ctober 2020. We remark that the approach using the analyst target prices appeared to give the best results. Although one month is not large enough of a sample size, the performance of the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portfolio suggests that there is considerable room for impro</w:t>
      </w:r>
      <w:r>
        <w:rPr>
          <w:rFonts w:ascii="Times New Roman" w:eastAsia="Times New Roman" w:hAnsi="Times New Roman" w:cs="Times New Roman"/>
        </w:rPr>
        <w:t xml:space="preserve">vement. </w:t>
      </w:r>
    </w:p>
    <w:p w14:paraId="133D2236" w14:textId="77777777" w:rsidR="0079560F" w:rsidRDefault="0079560F">
      <w:pPr>
        <w:rPr>
          <w:highlight w:val="white"/>
        </w:rPr>
      </w:pPr>
    </w:p>
    <w:tbl>
      <w:tblPr>
        <w:tblStyle w:val="a1"/>
        <w:tblW w:w="99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4"/>
        <w:gridCol w:w="1941"/>
        <w:gridCol w:w="2398"/>
        <w:gridCol w:w="1827"/>
      </w:tblGrid>
      <w:tr w:rsidR="0079560F" w14:paraId="7D28089A" w14:textId="77777777">
        <w:trPr>
          <w:jc w:val="center"/>
        </w:trPr>
        <w:tc>
          <w:tcPr>
            <w:tcW w:w="2010" w:type="dxa"/>
            <w:shd w:val="clear" w:color="auto" w:fill="666666"/>
            <w:tcMar>
              <w:top w:w="0" w:type="dxa"/>
              <w:left w:w="0" w:type="dxa"/>
              <w:bottom w:w="0" w:type="dxa"/>
              <w:right w:w="0" w:type="dxa"/>
            </w:tcMar>
          </w:tcPr>
          <w:p w14:paraId="2B563581" w14:textId="77777777" w:rsidR="0079560F" w:rsidRDefault="0079560F">
            <w:pPr>
              <w:widowControl w:val="0"/>
              <w:spacing w:line="240" w:lineRule="auto"/>
              <w:rPr>
                <w:rFonts w:ascii="Times New Roman" w:eastAsia="Times New Roman" w:hAnsi="Times New Roman" w:cs="Times New Roman"/>
                <w:b/>
                <w:sz w:val="20"/>
                <w:szCs w:val="20"/>
              </w:rPr>
            </w:pPr>
          </w:p>
          <w:p w14:paraId="254F5F12" w14:textId="77777777" w:rsidR="0079560F" w:rsidRDefault="0079560F">
            <w:pPr>
              <w:widowControl w:val="0"/>
              <w:spacing w:line="240" w:lineRule="auto"/>
              <w:rPr>
                <w:rFonts w:ascii="Times New Roman" w:eastAsia="Times New Roman" w:hAnsi="Times New Roman" w:cs="Times New Roman"/>
                <w:b/>
                <w:sz w:val="20"/>
                <w:szCs w:val="20"/>
              </w:rPr>
            </w:pPr>
          </w:p>
        </w:tc>
        <w:tc>
          <w:tcPr>
            <w:tcW w:w="1020" w:type="dxa"/>
            <w:shd w:val="clear" w:color="auto" w:fill="CFE2F3"/>
            <w:tcMar>
              <w:top w:w="0" w:type="dxa"/>
              <w:left w:w="0" w:type="dxa"/>
              <w:bottom w:w="0" w:type="dxa"/>
              <w:right w:w="0" w:type="dxa"/>
            </w:tcMar>
            <w:vAlign w:val="center"/>
          </w:tcPr>
          <w:p w14:paraId="70FEFAC5" w14:textId="77777777" w:rsidR="0079560F" w:rsidRDefault="00B40299">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Return </w:t>
            </w:r>
          </w:p>
        </w:tc>
        <w:tc>
          <w:tcPr>
            <w:tcW w:w="1260" w:type="dxa"/>
            <w:shd w:val="clear" w:color="auto" w:fill="CFE2F3"/>
            <w:tcMar>
              <w:top w:w="0" w:type="dxa"/>
              <w:left w:w="0" w:type="dxa"/>
              <w:bottom w:w="0" w:type="dxa"/>
              <w:right w:w="0" w:type="dxa"/>
            </w:tcMar>
            <w:vAlign w:val="center"/>
          </w:tcPr>
          <w:p w14:paraId="00E7517B" w14:textId="77777777" w:rsidR="0079560F" w:rsidRDefault="00B40299">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Standard Deviation</w:t>
            </w:r>
          </w:p>
        </w:tc>
        <w:tc>
          <w:tcPr>
            <w:tcW w:w="960" w:type="dxa"/>
            <w:shd w:val="clear" w:color="auto" w:fill="CFE2F3"/>
            <w:tcMar>
              <w:top w:w="0" w:type="dxa"/>
              <w:left w:w="0" w:type="dxa"/>
              <w:bottom w:w="0" w:type="dxa"/>
              <w:right w:w="0" w:type="dxa"/>
            </w:tcMar>
            <w:vAlign w:val="center"/>
          </w:tcPr>
          <w:p w14:paraId="452D7D2D" w14:textId="77777777" w:rsidR="0079560F" w:rsidRDefault="00B40299">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Sharpe Ratio</w:t>
            </w:r>
          </w:p>
        </w:tc>
      </w:tr>
      <w:tr w:rsidR="0079560F" w14:paraId="1729861F" w14:textId="77777777">
        <w:trPr>
          <w:jc w:val="center"/>
        </w:trPr>
        <w:tc>
          <w:tcPr>
            <w:tcW w:w="2010" w:type="dxa"/>
            <w:shd w:val="clear" w:color="auto" w:fill="CFE2F3"/>
            <w:tcMar>
              <w:top w:w="100" w:type="dxa"/>
              <w:left w:w="100" w:type="dxa"/>
              <w:bottom w:w="100" w:type="dxa"/>
              <w:right w:w="100" w:type="dxa"/>
            </w:tcMar>
          </w:tcPr>
          <w:p w14:paraId="03DEFEC6" w14:textId="77777777" w:rsidR="0079560F" w:rsidRDefault="00B4029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Index</w:t>
            </w:r>
          </w:p>
        </w:tc>
        <w:tc>
          <w:tcPr>
            <w:tcW w:w="1020" w:type="dxa"/>
            <w:shd w:val="clear" w:color="auto" w:fill="auto"/>
            <w:tcMar>
              <w:top w:w="100" w:type="dxa"/>
              <w:left w:w="100" w:type="dxa"/>
              <w:bottom w:w="100" w:type="dxa"/>
              <w:right w:w="100" w:type="dxa"/>
            </w:tcMar>
            <w:vAlign w:val="center"/>
          </w:tcPr>
          <w:p w14:paraId="1CE0AB1A" w14:textId="77777777" w:rsidR="0079560F" w:rsidRDefault="00B4029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-3.54%</w:t>
            </w:r>
          </w:p>
        </w:tc>
        <w:tc>
          <w:tcPr>
            <w:tcW w:w="1260" w:type="dxa"/>
            <w:shd w:val="clear" w:color="auto" w:fill="auto"/>
            <w:tcMar>
              <w:top w:w="100" w:type="dxa"/>
              <w:left w:w="100" w:type="dxa"/>
              <w:bottom w:w="100" w:type="dxa"/>
              <w:right w:w="100" w:type="dxa"/>
            </w:tcMar>
            <w:vAlign w:val="center"/>
          </w:tcPr>
          <w:p w14:paraId="7210CE9F" w14:textId="77777777" w:rsidR="0079560F" w:rsidRDefault="00B4029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2.62%</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D3A339" w14:textId="77777777" w:rsidR="0079560F" w:rsidRDefault="00B4029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-1.35</w:t>
            </w:r>
          </w:p>
        </w:tc>
      </w:tr>
      <w:tr w:rsidR="0079560F" w14:paraId="4005065F" w14:textId="77777777">
        <w:trPr>
          <w:jc w:val="center"/>
        </w:trPr>
        <w:tc>
          <w:tcPr>
            <w:tcW w:w="2010" w:type="dxa"/>
            <w:shd w:val="clear" w:color="auto" w:fill="CFE2F3"/>
            <w:tcMar>
              <w:top w:w="100" w:type="dxa"/>
              <w:left w:w="100" w:type="dxa"/>
              <w:bottom w:w="100" w:type="dxa"/>
              <w:right w:w="100" w:type="dxa"/>
            </w:tcMar>
          </w:tcPr>
          <w:p w14:paraId="2F0B0085" w14:textId="77777777" w:rsidR="0079560F" w:rsidRDefault="00B4029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Analyst target prices</w:t>
            </w:r>
          </w:p>
        </w:tc>
        <w:tc>
          <w:tcPr>
            <w:tcW w:w="1020" w:type="dxa"/>
            <w:shd w:val="clear" w:color="auto" w:fill="auto"/>
            <w:tcMar>
              <w:top w:w="100" w:type="dxa"/>
              <w:left w:w="100" w:type="dxa"/>
              <w:bottom w:w="100" w:type="dxa"/>
              <w:right w:w="100" w:type="dxa"/>
            </w:tcMar>
            <w:vAlign w:val="center"/>
          </w:tcPr>
          <w:p w14:paraId="541FBD11" w14:textId="77777777" w:rsidR="0079560F" w:rsidRDefault="00B4029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-3.12%</w:t>
            </w:r>
          </w:p>
        </w:tc>
        <w:tc>
          <w:tcPr>
            <w:tcW w:w="1260" w:type="dxa"/>
            <w:shd w:val="clear" w:color="auto" w:fill="auto"/>
            <w:tcMar>
              <w:top w:w="100" w:type="dxa"/>
              <w:left w:w="100" w:type="dxa"/>
              <w:bottom w:w="100" w:type="dxa"/>
              <w:right w:w="100" w:type="dxa"/>
            </w:tcMar>
            <w:vAlign w:val="center"/>
          </w:tcPr>
          <w:p w14:paraId="60A50B57" w14:textId="77777777" w:rsidR="0079560F" w:rsidRDefault="00B4029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2.47%</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B10476" w14:textId="77777777" w:rsidR="0079560F" w:rsidRDefault="00B4029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-1.26</w:t>
            </w:r>
          </w:p>
        </w:tc>
      </w:tr>
      <w:tr w:rsidR="0079560F" w14:paraId="7F1F6B5E" w14:textId="77777777">
        <w:trPr>
          <w:jc w:val="center"/>
        </w:trPr>
        <w:tc>
          <w:tcPr>
            <w:tcW w:w="2010" w:type="dxa"/>
            <w:shd w:val="clear" w:color="auto" w:fill="CFE2F3"/>
            <w:tcMar>
              <w:top w:w="100" w:type="dxa"/>
              <w:left w:w="100" w:type="dxa"/>
              <w:bottom w:w="100" w:type="dxa"/>
              <w:right w:w="100" w:type="dxa"/>
            </w:tcMar>
          </w:tcPr>
          <w:p w14:paraId="1BD24CBF" w14:textId="77777777" w:rsidR="0079560F" w:rsidRDefault="00B40299">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XGBoost</w:t>
            </w:r>
            <w:proofErr w:type="spellEnd"/>
            <w:r>
              <w:rPr>
                <w:rFonts w:ascii="Times New Roman" w:eastAsia="Times New Roman" w:hAnsi="Times New Roman" w:cs="Times New Roman"/>
                <w:sz w:val="20"/>
                <w:szCs w:val="20"/>
              </w:rPr>
              <w:t xml:space="preserve"> predictions</w:t>
            </w:r>
          </w:p>
        </w:tc>
        <w:tc>
          <w:tcPr>
            <w:tcW w:w="1020" w:type="dxa"/>
            <w:shd w:val="clear" w:color="auto" w:fill="auto"/>
            <w:tcMar>
              <w:top w:w="100" w:type="dxa"/>
              <w:left w:w="100" w:type="dxa"/>
              <w:bottom w:w="100" w:type="dxa"/>
              <w:right w:w="100" w:type="dxa"/>
            </w:tcMar>
            <w:vAlign w:val="center"/>
          </w:tcPr>
          <w:p w14:paraId="6DD6F3E1" w14:textId="77777777" w:rsidR="0079560F" w:rsidRDefault="00B4029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-4.23%</w:t>
            </w:r>
          </w:p>
        </w:tc>
        <w:tc>
          <w:tcPr>
            <w:tcW w:w="1260" w:type="dxa"/>
            <w:shd w:val="clear" w:color="auto" w:fill="auto"/>
            <w:tcMar>
              <w:top w:w="100" w:type="dxa"/>
              <w:left w:w="100" w:type="dxa"/>
              <w:bottom w:w="100" w:type="dxa"/>
              <w:right w:w="100" w:type="dxa"/>
            </w:tcMar>
            <w:vAlign w:val="center"/>
          </w:tcPr>
          <w:p w14:paraId="6A56FD4A" w14:textId="77777777" w:rsidR="0079560F" w:rsidRDefault="00B4029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2.30%</w:t>
            </w:r>
          </w:p>
        </w:tc>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3FF825" w14:textId="77777777" w:rsidR="0079560F" w:rsidRDefault="00B40299">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-1.84</w:t>
            </w:r>
          </w:p>
        </w:tc>
      </w:tr>
    </w:tbl>
    <w:p w14:paraId="736703BC" w14:textId="77777777" w:rsidR="0079560F" w:rsidRDefault="0079560F">
      <w:pPr>
        <w:rPr>
          <w:rFonts w:ascii="Times New Roman" w:eastAsia="Times New Roman" w:hAnsi="Times New Roman" w:cs="Times New Roman"/>
        </w:rPr>
      </w:pPr>
    </w:p>
    <w:p w14:paraId="5207369C" w14:textId="77777777" w:rsidR="0079560F" w:rsidRDefault="0079560F">
      <w:pPr>
        <w:rPr>
          <w:rFonts w:ascii="Times New Roman" w:eastAsia="Times New Roman" w:hAnsi="Times New Roman" w:cs="Times New Roman"/>
        </w:rPr>
      </w:pPr>
    </w:p>
    <w:p w14:paraId="79C6ED7D" w14:textId="77777777" w:rsidR="0079560F" w:rsidRDefault="00B40299">
      <w:pPr>
        <w:rPr>
          <w:rFonts w:ascii="Times New Roman" w:eastAsia="Times New Roman" w:hAnsi="Times New Roman" w:cs="Times New Roman"/>
          <w:b/>
        </w:rPr>
      </w:pPr>
      <w:r>
        <w:rPr>
          <w:rFonts w:ascii="Times New Roman" w:eastAsia="Times New Roman" w:hAnsi="Times New Roman" w:cs="Times New Roman"/>
          <w:b/>
        </w:rPr>
        <w:t>Further Improvements and Conclusion</w:t>
      </w:r>
    </w:p>
    <w:p w14:paraId="43AC46AD" w14:textId="15B20F49"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In this project, we have demonstrated how an “optimal” portfolio may be constructed based on an investor’s personal preferences, risk appetite and other constraints. We have also shown how losses </w:t>
      </w:r>
      <w:proofErr w:type="gramStart"/>
      <w:r>
        <w:rPr>
          <w:rFonts w:ascii="Times New Roman" w:eastAsia="Times New Roman" w:hAnsi="Times New Roman" w:cs="Times New Roman"/>
        </w:rPr>
        <w:t>in excess of</w:t>
      </w:r>
      <w:proofErr w:type="gramEnd"/>
      <w:r>
        <w:rPr>
          <w:rFonts w:ascii="Times New Roman" w:eastAsia="Times New Roman" w:hAnsi="Times New Roman" w:cs="Times New Roman"/>
        </w:rPr>
        <w:t xml:space="preserve"> an investor’s risk tolerance may be limited thr</w:t>
      </w:r>
      <w:r>
        <w:rPr>
          <w:rFonts w:ascii="Times New Roman" w:eastAsia="Times New Roman" w:hAnsi="Times New Roman" w:cs="Times New Roman"/>
        </w:rPr>
        <w:t>ough the use of options and the tradeoffs in terms of profits to protect one’s portfolio from such a loss. Lastly, we experimented with applying machine learning to the forecasting of an asset’s future performance and using the Black-</w:t>
      </w:r>
      <w:proofErr w:type="spellStart"/>
      <w:r>
        <w:rPr>
          <w:rFonts w:ascii="Times New Roman" w:eastAsia="Times New Roman" w:hAnsi="Times New Roman" w:cs="Times New Roman"/>
        </w:rPr>
        <w:t>Litterman</w:t>
      </w:r>
      <w:proofErr w:type="spellEnd"/>
      <w:r>
        <w:rPr>
          <w:rFonts w:ascii="Times New Roman" w:eastAsia="Times New Roman" w:hAnsi="Times New Roman" w:cs="Times New Roman"/>
        </w:rPr>
        <w:t xml:space="preserve"> model to app</w:t>
      </w:r>
      <w:r>
        <w:rPr>
          <w:rFonts w:ascii="Times New Roman" w:eastAsia="Times New Roman" w:hAnsi="Times New Roman" w:cs="Times New Roman"/>
        </w:rPr>
        <w:t xml:space="preserve">ly these forecasts to portfolio management. </w:t>
      </w:r>
      <w:r>
        <w:rPr>
          <w:rFonts w:ascii="Times New Roman" w:eastAsia="Times New Roman" w:hAnsi="Times New Roman" w:cs="Times New Roman"/>
        </w:rPr>
        <w:t>As a guide for future work,</w:t>
      </w:r>
      <w:r w:rsidR="008B7BDF">
        <w:rPr>
          <w:rFonts w:ascii="Times New Roman" w:eastAsia="Times New Roman" w:hAnsi="Times New Roman" w:cs="Times New Roman"/>
        </w:rPr>
        <w:t xml:space="preserve"> </w:t>
      </w:r>
      <w:r>
        <w:rPr>
          <w:rFonts w:ascii="Times New Roman" w:eastAsia="Times New Roman" w:hAnsi="Times New Roman" w:cs="Times New Roman"/>
        </w:rPr>
        <w:t xml:space="preserve">we believe that the following areas could be explored further to improve the returns of the portfolio. </w:t>
      </w:r>
    </w:p>
    <w:p w14:paraId="432029E6" w14:textId="77777777" w:rsidR="0079560F" w:rsidRDefault="0079560F">
      <w:pPr>
        <w:rPr>
          <w:rFonts w:ascii="Times New Roman" w:eastAsia="Times New Roman" w:hAnsi="Times New Roman" w:cs="Times New Roman"/>
        </w:rPr>
      </w:pPr>
    </w:p>
    <w:p w14:paraId="43F4283B"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i/>
          <w:u w:val="single"/>
        </w:rPr>
        <w:t>Assumed Factors affecting returns</w:t>
      </w:r>
    </w:p>
    <w:p w14:paraId="08B84ACF" w14:textId="77777777" w:rsidR="0079560F" w:rsidRDefault="00B40299">
      <w:pPr>
        <w:rPr>
          <w:rFonts w:ascii="Times New Roman" w:eastAsia="Times New Roman" w:hAnsi="Times New Roman" w:cs="Times New Roman"/>
          <w:i/>
          <w:u w:val="single"/>
        </w:rPr>
      </w:pPr>
      <w:r>
        <w:rPr>
          <w:noProof/>
        </w:rPr>
        <w:lastRenderedPageBreak/>
        <w:drawing>
          <wp:anchor distT="114300" distB="114300" distL="114300" distR="114300" simplePos="0" relativeHeight="251661312" behindDoc="0" locked="0" layoutInCell="1" hidden="0" allowOverlap="1" wp14:anchorId="4D7DC44D" wp14:editId="6CE0A66C">
            <wp:simplePos x="0" y="0"/>
            <wp:positionH relativeFrom="column">
              <wp:posOffset>1</wp:posOffset>
            </wp:positionH>
            <wp:positionV relativeFrom="paragraph">
              <wp:posOffset>165688</wp:posOffset>
            </wp:positionV>
            <wp:extent cx="3100388" cy="2010794"/>
            <wp:effectExtent l="0" t="0" r="0" b="0"/>
            <wp:wrapSquare wrapText="bothSides" distT="114300" distB="114300" distL="114300" distR="114300"/>
            <wp:docPr id="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3100388" cy="2010794"/>
                    </a:xfrm>
                    <a:prstGeom prst="rect">
                      <a:avLst/>
                    </a:prstGeom>
                    <a:ln/>
                  </pic:spPr>
                </pic:pic>
              </a:graphicData>
            </a:graphic>
          </wp:anchor>
        </w:drawing>
      </w:r>
    </w:p>
    <w:p w14:paraId="211AA5D7" w14:textId="6D2DCAC2" w:rsidR="0079560F" w:rsidRDefault="00B40299">
      <w:pPr>
        <w:rPr>
          <w:rFonts w:ascii="Times New Roman" w:eastAsia="Times New Roman" w:hAnsi="Times New Roman" w:cs="Times New Roman"/>
        </w:rPr>
      </w:pPr>
      <w:r>
        <w:rPr>
          <w:rFonts w:ascii="Times New Roman" w:eastAsia="Times New Roman" w:hAnsi="Times New Roman" w:cs="Times New Roman"/>
        </w:rPr>
        <w:t xml:space="preserve">Throughout this project, we have made the </w:t>
      </w:r>
      <w:r>
        <w:rPr>
          <w:rFonts w:ascii="Times New Roman" w:eastAsia="Times New Roman" w:hAnsi="Times New Roman" w:cs="Times New Roman"/>
        </w:rPr>
        <w:t xml:space="preserve">implicit assumption that the returns of our assets follow CAPM. While the model is widely used due to its simplicity, it is not without its drawbacks. Other factors, such as those prescribed by the various </w:t>
      </w:r>
      <w:proofErr w:type="spellStart"/>
      <w:r>
        <w:rPr>
          <w:rFonts w:ascii="Times New Roman" w:eastAsia="Times New Roman" w:hAnsi="Times New Roman" w:cs="Times New Roman"/>
        </w:rPr>
        <w:t>Fama</w:t>
      </w:r>
      <w:proofErr w:type="spellEnd"/>
      <w:r>
        <w:rPr>
          <w:rFonts w:ascii="Times New Roman" w:eastAsia="Times New Roman" w:hAnsi="Times New Roman" w:cs="Times New Roman"/>
        </w:rPr>
        <w:t>-French models. Furthermore, the accuracy of t</w:t>
      </w:r>
      <w:r>
        <w:rPr>
          <w:rFonts w:ascii="Times New Roman" w:eastAsia="Times New Roman" w:hAnsi="Times New Roman" w:cs="Times New Roman"/>
        </w:rPr>
        <w:t>he model may also depend on the se</w:t>
      </w:r>
      <w:r w:rsidR="008B7BDF">
        <w:rPr>
          <w:rFonts w:ascii="Times New Roman" w:eastAsia="Times New Roman" w:hAnsi="Times New Roman" w:cs="Times New Roman"/>
        </w:rPr>
        <w:t>lection of index as a proxy for the market. The S&amp;P 500 is dispropor</w:t>
      </w:r>
      <w:r>
        <w:rPr>
          <w:rFonts w:ascii="Times New Roman" w:eastAsia="Times New Roman" w:hAnsi="Times New Roman" w:cs="Times New Roman"/>
        </w:rPr>
        <w:t>tionately weighted toward larger companies whereas the companies in our optimal portfolio tend to be medium to small cap companies. It may be useful to find a different index as a proxy for our market, especially when we c</w:t>
      </w:r>
      <w:r>
        <w:rPr>
          <w:rFonts w:ascii="Times New Roman" w:eastAsia="Times New Roman" w:hAnsi="Times New Roman" w:cs="Times New Roman"/>
        </w:rPr>
        <w:t xml:space="preserve">ompare the expected returns against the actual returns. We see that the expected returns using forecasted alphas were very small compared to the actual returns, suggesting that the S&amp;P 500 may not be appropriate in this instance. </w:t>
      </w:r>
    </w:p>
    <w:p w14:paraId="1658FD41" w14:textId="77777777" w:rsidR="0079560F" w:rsidRDefault="0079560F">
      <w:pPr>
        <w:rPr>
          <w:rFonts w:ascii="Times New Roman" w:eastAsia="Times New Roman" w:hAnsi="Times New Roman" w:cs="Times New Roman"/>
        </w:rPr>
      </w:pPr>
    </w:p>
    <w:p w14:paraId="6EF8596A" w14:textId="77777777" w:rsidR="0079560F" w:rsidRDefault="00B40299">
      <w:pPr>
        <w:rPr>
          <w:rFonts w:ascii="Times New Roman" w:eastAsia="Times New Roman" w:hAnsi="Times New Roman" w:cs="Times New Roman"/>
          <w:i/>
          <w:u w:val="single"/>
        </w:rPr>
      </w:pPr>
      <w:r>
        <w:rPr>
          <w:rFonts w:ascii="Times New Roman" w:eastAsia="Times New Roman" w:hAnsi="Times New Roman" w:cs="Times New Roman"/>
          <w:i/>
          <w:u w:val="single"/>
        </w:rPr>
        <w:t xml:space="preserve">Selection of Instrument </w:t>
      </w:r>
      <w:r>
        <w:rPr>
          <w:rFonts w:ascii="Times New Roman" w:eastAsia="Times New Roman" w:hAnsi="Times New Roman" w:cs="Times New Roman"/>
          <w:i/>
          <w:u w:val="single"/>
        </w:rPr>
        <w:t>for Hedging</w:t>
      </w:r>
    </w:p>
    <w:p w14:paraId="488B1731" w14:textId="77777777" w:rsidR="0079560F" w:rsidRDefault="00B40299">
      <w:pPr>
        <w:rPr>
          <w:rFonts w:ascii="Times New Roman" w:eastAsia="Times New Roman" w:hAnsi="Times New Roman" w:cs="Times New Roman"/>
        </w:rPr>
      </w:pPr>
      <w:r>
        <w:rPr>
          <w:rFonts w:ascii="Times New Roman" w:eastAsia="Times New Roman" w:hAnsi="Times New Roman" w:cs="Times New Roman"/>
        </w:rPr>
        <w:t>We used FHLC options to hedge our portfolio as it returned the highest R-square, indicating the strength of the relationship. However, the choice of options traded were somewhat limited as the deepest out of the money call was only $2 higher th</w:t>
      </w:r>
      <w:r>
        <w:rPr>
          <w:rFonts w:ascii="Times New Roman" w:eastAsia="Times New Roman" w:hAnsi="Times New Roman" w:cs="Times New Roman"/>
        </w:rPr>
        <w:t>an the market price of the underlying asset. The bid-ask spread for the options was also very large (0.15 bid, 3.8 ask), suggesting that these contracts were relatively illiquid. This might have caused the estimates for setting up the hedge to be inflated.</w:t>
      </w:r>
      <w:r>
        <w:rPr>
          <w:rFonts w:ascii="Times New Roman" w:eastAsia="Times New Roman" w:hAnsi="Times New Roman" w:cs="Times New Roman"/>
        </w:rPr>
        <w:t xml:space="preserve"> As an improvement, we could explore using other option contracts or financial instruments to hedge our portfolio. </w:t>
      </w:r>
    </w:p>
    <w:p w14:paraId="1B058AFE" w14:textId="77777777" w:rsidR="0079560F" w:rsidRDefault="0079560F">
      <w:pPr>
        <w:rPr>
          <w:rFonts w:ascii="Times New Roman" w:eastAsia="Times New Roman" w:hAnsi="Times New Roman" w:cs="Times New Roman"/>
        </w:rPr>
      </w:pPr>
    </w:p>
    <w:p w14:paraId="3EB20418" w14:textId="77777777" w:rsidR="0079560F" w:rsidRDefault="00B40299">
      <w:pPr>
        <w:rPr>
          <w:rFonts w:ascii="Times New Roman" w:eastAsia="Times New Roman" w:hAnsi="Times New Roman" w:cs="Times New Roman"/>
          <w:i/>
          <w:u w:val="single"/>
        </w:rPr>
      </w:pPr>
      <w:proofErr w:type="spellStart"/>
      <w:r>
        <w:rPr>
          <w:rFonts w:ascii="Times New Roman" w:eastAsia="Times New Roman" w:hAnsi="Times New Roman" w:cs="Times New Roman"/>
          <w:i/>
          <w:u w:val="single"/>
        </w:rPr>
        <w:t>XGBoost</w:t>
      </w:r>
      <w:proofErr w:type="spellEnd"/>
    </w:p>
    <w:p w14:paraId="4E53F40B" w14:textId="0D2E719E" w:rsidR="0079560F" w:rsidRDefault="00B40299">
      <w:r>
        <w:rPr>
          <w:rFonts w:ascii="Times New Roman" w:eastAsia="Times New Roman" w:hAnsi="Times New Roman" w:cs="Times New Roman"/>
        </w:rPr>
        <w:t xml:space="preserve">In our </w:t>
      </w:r>
      <w:proofErr w:type="spellStart"/>
      <w:r>
        <w:rPr>
          <w:rFonts w:ascii="Times New Roman" w:eastAsia="Times New Roman" w:hAnsi="Times New Roman" w:cs="Times New Roman"/>
        </w:rPr>
        <w:t>XGBoost</w:t>
      </w:r>
      <w:proofErr w:type="spellEnd"/>
      <w:r>
        <w:rPr>
          <w:rFonts w:ascii="Times New Roman" w:eastAsia="Times New Roman" w:hAnsi="Times New Roman" w:cs="Times New Roman"/>
        </w:rPr>
        <w:t xml:space="preserve"> model, we </w:t>
      </w:r>
      <w:proofErr w:type="gramStart"/>
      <w:r>
        <w:rPr>
          <w:rFonts w:ascii="Times New Roman" w:eastAsia="Times New Roman" w:hAnsi="Times New Roman" w:cs="Times New Roman"/>
        </w:rPr>
        <w:t>made the assumption</w:t>
      </w:r>
      <w:proofErr w:type="gramEnd"/>
      <w:r>
        <w:rPr>
          <w:rFonts w:ascii="Times New Roman" w:eastAsia="Times New Roman" w:hAnsi="Times New Roman" w:cs="Times New Roman"/>
        </w:rPr>
        <w:t xml:space="preserve"> that all biotech stocks exhibit similar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which is why data for multiple sto</w:t>
      </w:r>
      <w:r>
        <w:rPr>
          <w:rFonts w:ascii="Times New Roman" w:eastAsia="Times New Roman" w:hAnsi="Times New Roman" w:cs="Times New Roman"/>
        </w:rPr>
        <w:t xml:space="preserve">cks were combined to form a single training dataset. However, this </w:t>
      </w:r>
      <w:proofErr w:type="spellStart"/>
      <w:r>
        <w:rPr>
          <w:rFonts w:ascii="Times New Roman" w:eastAsia="Times New Roman" w:hAnsi="Times New Roman" w:cs="Times New Roman"/>
        </w:rPr>
        <w:t>generalisation</w:t>
      </w:r>
      <w:proofErr w:type="spellEnd"/>
      <w:r>
        <w:rPr>
          <w:rFonts w:ascii="Times New Roman" w:eastAsia="Times New Roman" w:hAnsi="Times New Roman" w:cs="Times New Roman"/>
        </w:rPr>
        <w:t xml:space="preserve"> </w:t>
      </w:r>
      <w:r w:rsidR="008B7BDF">
        <w:rPr>
          <w:rFonts w:ascii="Times New Roman" w:eastAsia="Times New Roman" w:hAnsi="Times New Roman" w:cs="Times New Roman"/>
        </w:rPr>
        <w:t>may</w:t>
      </w:r>
      <w:r>
        <w:rPr>
          <w:rFonts w:ascii="Times New Roman" w:eastAsia="Times New Roman" w:hAnsi="Times New Roman" w:cs="Times New Roman"/>
        </w:rPr>
        <w:t xml:space="preserve"> not necessarily hold true. To get better and more reliable predictions, we can possibly train multiple models for each stock using data within a longer time horizon. Eac</w:t>
      </w:r>
      <w:r>
        <w:rPr>
          <w:rFonts w:ascii="Times New Roman" w:eastAsia="Times New Roman" w:hAnsi="Times New Roman" w:cs="Times New Roman"/>
        </w:rPr>
        <w:t xml:space="preserve">h model can also be further fine-tuned to produce more accurate predictions. </w:t>
      </w:r>
    </w:p>
    <w:p w14:paraId="05C63659" w14:textId="79C92D98" w:rsidR="0079560F" w:rsidRDefault="0079560F"/>
    <w:p w14:paraId="35E71602" w14:textId="7D4412E1" w:rsidR="008B7BDF" w:rsidRDefault="008B7BDF"/>
    <w:p w14:paraId="37953EDF" w14:textId="7399B1AC" w:rsidR="008B7BDF" w:rsidRDefault="008B7BDF"/>
    <w:p w14:paraId="6A420A52" w14:textId="0292C8EE" w:rsidR="008B7BDF" w:rsidRDefault="008B7BDF"/>
    <w:p w14:paraId="5432FD78" w14:textId="4332C87A" w:rsidR="008B7BDF" w:rsidRDefault="008B7BDF"/>
    <w:p w14:paraId="0E41BFAC" w14:textId="0B62EAAD" w:rsidR="008B7BDF" w:rsidRDefault="008B7BDF"/>
    <w:p w14:paraId="6CD1A35F" w14:textId="41755A04" w:rsidR="008B7BDF" w:rsidRDefault="008B7BDF"/>
    <w:p w14:paraId="4E0B1183" w14:textId="19ABA210" w:rsidR="008B7BDF" w:rsidRDefault="008B7BDF"/>
    <w:p w14:paraId="687500A0" w14:textId="6BA5D888" w:rsidR="008B7BDF" w:rsidRDefault="008B7BDF"/>
    <w:p w14:paraId="5470D483" w14:textId="07959037" w:rsidR="008B7BDF" w:rsidRDefault="008B7BDF"/>
    <w:p w14:paraId="74FD4B48" w14:textId="2A7DE16B" w:rsidR="008B7BDF" w:rsidRDefault="008B7BDF"/>
    <w:p w14:paraId="3A3D960C" w14:textId="77777777" w:rsidR="00DE4083" w:rsidRDefault="00DE4083"/>
    <w:p w14:paraId="4B92393D" w14:textId="77777777" w:rsidR="008B7BDF" w:rsidRDefault="008B7BDF"/>
    <w:p w14:paraId="201F9A79" w14:textId="77777777" w:rsidR="0079560F" w:rsidRDefault="0079560F"/>
    <w:p w14:paraId="7775D8E3" w14:textId="77777777" w:rsidR="0079560F" w:rsidRDefault="00B40299">
      <w:pPr>
        <w:rPr>
          <w:b/>
          <w:u w:val="single"/>
        </w:rPr>
      </w:pPr>
      <w:r>
        <w:rPr>
          <w:b/>
          <w:u w:val="single"/>
        </w:rPr>
        <w:lastRenderedPageBreak/>
        <w:t>Tables</w:t>
      </w:r>
    </w:p>
    <w:p w14:paraId="7F0E80DC" w14:textId="77777777" w:rsidR="0079560F" w:rsidRDefault="0079560F">
      <w:pPr>
        <w:rPr>
          <w:highlight w:val="white"/>
        </w:rPr>
      </w:pPr>
    </w:p>
    <w:p w14:paraId="6A7276A0" w14:textId="77777777" w:rsidR="0079560F" w:rsidRDefault="00B40299">
      <w:pPr>
        <w:rPr>
          <w:highlight w:val="white"/>
        </w:rPr>
      </w:pPr>
      <w:r>
        <w:rPr>
          <w:highlight w:val="white"/>
        </w:rPr>
        <w:t>Table 1: Monthly Returns</w:t>
      </w:r>
    </w:p>
    <w:tbl>
      <w:tblPr>
        <w:tblStyle w:val="a2"/>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665"/>
        <w:gridCol w:w="1665"/>
        <w:gridCol w:w="1665"/>
        <w:gridCol w:w="1665"/>
        <w:gridCol w:w="1665"/>
      </w:tblGrid>
      <w:tr w:rsidR="0079560F" w14:paraId="7C510983" w14:textId="77777777">
        <w:trPr>
          <w:trHeight w:val="730"/>
        </w:trPr>
        <w:tc>
          <w:tcPr>
            <w:tcW w:w="1665" w:type="dxa"/>
            <w:shd w:val="clear" w:color="auto" w:fill="CFE2F3"/>
            <w:tcMar>
              <w:top w:w="100" w:type="dxa"/>
              <w:left w:w="100" w:type="dxa"/>
              <w:bottom w:w="100" w:type="dxa"/>
              <w:right w:w="100" w:type="dxa"/>
            </w:tcMar>
          </w:tcPr>
          <w:p w14:paraId="443DB7F5" w14:textId="77777777" w:rsidR="0079560F" w:rsidRDefault="00B40299">
            <w:pPr>
              <w:widowControl w:val="0"/>
              <w:spacing w:line="240" w:lineRule="auto"/>
              <w:rPr>
                <w:b/>
              </w:rPr>
            </w:pPr>
            <w:r>
              <w:rPr>
                <w:b/>
              </w:rPr>
              <w:t>Date</w:t>
            </w:r>
          </w:p>
          <w:p w14:paraId="0EC7180F" w14:textId="77777777" w:rsidR="0079560F" w:rsidRDefault="0079560F">
            <w:pPr>
              <w:widowControl w:val="0"/>
              <w:spacing w:line="240" w:lineRule="auto"/>
              <w:rPr>
                <w:b/>
              </w:rPr>
            </w:pPr>
          </w:p>
        </w:tc>
        <w:tc>
          <w:tcPr>
            <w:tcW w:w="1665" w:type="dxa"/>
            <w:shd w:val="clear" w:color="auto" w:fill="CFE2F3"/>
            <w:tcMar>
              <w:top w:w="100" w:type="dxa"/>
              <w:left w:w="100" w:type="dxa"/>
              <w:bottom w:w="100" w:type="dxa"/>
              <w:right w:w="100" w:type="dxa"/>
            </w:tcMar>
          </w:tcPr>
          <w:p w14:paraId="06F2BA10" w14:textId="77777777" w:rsidR="0079560F" w:rsidRDefault="00B40299">
            <w:pPr>
              <w:widowControl w:val="0"/>
              <w:spacing w:line="240" w:lineRule="auto"/>
              <w:rPr>
                <w:b/>
              </w:rPr>
            </w:pPr>
            <w:r>
              <w:rPr>
                <w:b/>
              </w:rPr>
              <w:t>ETIHX (best)</w:t>
            </w:r>
          </w:p>
        </w:tc>
        <w:tc>
          <w:tcPr>
            <w:tcW w:w="1665" w:type="dxa"/>
            <w:shd w:val="clear" w:color="auto" w:fill="CFE2F3"/>
            <w:tcMar>
              <w:top w:w="100" w:type="dxa"/>
              <w:left w:w="100" w:type="dxa"/>
              <w:bottom w:w="100" w:type="dxa"/>
              <w:right w:w="100" w:type="dxa"/>
            </w:tcMar>
          </w:tcPr>
          <w:p w14:paraId="28D8BDA6" w14:textId="77777777" w:rsidR="0079560F" w:rsidRDefault="00B40299">
            <w:pPr>
              <w:widowControl w:val="0"/>
              <w:spacing w:line="240" w:lineRule="auto"/>
              <w:rPr>
                <w:b/>
              </w:rPr>
            </w:pPr>
            <w:r>
              <w:rPr>
                <w:b/>
              </w:rPr>
              <w:t>RYCFX (worst)</w:t>
            </w:r>
          </w:p>
        </w:tc>
        <w:tc>
          <w:tcPr>
            <w:tcW w:w="1665" w:type="dxa"/>
            <w:shd w:val="clear" w:color="auto" w:fill="CFE2F3"/>
            <w:tcMar>
              <w:top w:w="100" w:type="dxa"/>
              <w:left w:w="100" w:type="dxa"/>
              <w:bottom w:w="100" w:type="dxa"/>
              <w:right w:w="100" w:type="dxa"/>
            </w:tcMar>
          </w:tcPr>
          <w:p w14:paraId="1DF047DF" w14:textId="77777777" w:rsidR="0079560F" w:rsidRDefault="00B40299">
            <w:pPr>
              <w:widowControl w:val="0"/>
              <w:spacing w:line="240" w:lineRule="auto"/>
              <w:rPr>
                <w:b/>
              </w:rPr>
            </w:pPr>
            <w:r>
              <w:rPr>
                <w:b/>
              </w:rPr>
              <w:t>Index</w:t>
            </w:r>
          </w:p>
        </w:tc>
        <w:tc>
          <w:tcPr>
            <w:tcW w:w="1665" w:type="dxa"/>
            <w:shd w:val="clear" w:color="auto" w:fill="CFE2F3"/>
            <w:tcMar>
              <w:top w:w="100" w:type="dxa"/>
              <w:left w:w="100" w:type="dxa"/>
              <w:bottom w:w="100" w:type="dxa"/>
              <w:right w:w="100" w:type="dxa"/>
            </w:tcMar>
          </w:tcPr>
          <w:p w14:paraId="26020331" w14:textId="77777777" w:rsidR="0079560F" w:rsidRDefault="00B40299">
            <w:pPr>
              <w:widowControl w:val="0"/>
              <w:spacing w:line="240" w:lineRule="auto"/>
              <w:rPr>
                <w:b/>
              </w:rPr>
            </w:pPr>
            <w:proofErr w:type="spellStart"/>
            <w:r>
              <w:rPr>
                <w:b/>
              </w:rPr>
              <w:t>Optimised</w:t>
            </w:r>
            <w:proofErr w:type="spellEnd"/>
          </w:p>
        </w:tc>
        <w:tc>
          <w:tcPr>
            <w:tcW w:w="1665" w:type="dxa"/>
            <w:shd w:val="clear" w:color="auto" w:fill="CFE2F3"/>
            <w:tcMar>
              <w:top w:w="100" w:type="dxa"/>
              <w:left w:w="100" w:type="dxa"/>
              <w:bottom w:w="100" w:type="dxa"/>
              <w:right w:w="100" w:type="dxa"/>
            </w:tcMar>
          </w:tcPr>
          <w:p w14:paraId="364125B9" w14:textId="77777777" w:rsidR="0079560F" w:rsidRDefault="00B40299">
            <w:pPr>
              <w:widowControl w:val="0"/>
              <w:spacing w:line="240" w:lineRule="auto"/>
              <w:rPr>
                <w:b/>
              </w:rPr>
            </w:pPr>
            <w:r>
              <w:rPr>
                <w:b/>
              </w:rPr>
              <w:t>Adjusted</w:t>
            </w:r>
          </w:p>
        </w:tc>
      </w:tr>
      <w:tr w:rsidR="0079560F" w14:paraId="354C6917" w14:textId="77777777">
        <w:tc>
          <w:tcPr>
            <w:tcW w:w="1665" w:type="dxa"/>
            <w:shd w:val="clear" w:color="auto" w:fill="auto"/>
            <w:tcMar>
              <w:top w:w="100" w:type="dxa"/>
              <w:left w:w="100" w:type="dxa"/>
              <w:bottom w:w="100" w:type="dxa"/>
              <w:right w:w="100" w:type="dxa"/>
            </w:tcMar>
          </w:tcPr>
          <w:p w14:paraId="4BE6E897" w14:textId="77777777" w:rsidR="0079560F" w:rsidRDefault="00B40299">
            <w:pPr>
              <w:widowControl w:val="0"/>
              <w:spacing w:line="240" w:lineRule="auto"/>
              <w:rPr>
                <w:highlight w:val="white"/>
              </w:rPr>
            </w:pPr>
            <w:r>
              <w:rPr>
                <w:highlight w:val="white"/>
              </w:rPr>
              <w:t>31/1/2020</w:t>
            </w:r>
          </w:p>
        </w:tc>
        <w:tc>
          <w:tcPr>
            <w:tcW w:w="1665" w:type="dxa"/>
            <w:shd w:val="clear" w:color="auto" w:fill="auto"/>
            <w:tcMar>
              <w:top w:w="100" w:type="dxa"/>
              <w:left w:w="100" w:type="dxa"/>
              <w:bottom w:w="100" w:type="dxa"/>
              <w:right w:w="100" w:type="dxa"/>
            </w:tcMar>
          </w:tcPr>
          <w:p w14:paraId="7475C863" w14:textId="77777777" w:rsidR="0079560F" w:rsidRDefault="00B40299">
            <w:pPr>
              <w:widowControl w:val="0"/>
              <w:spacing w:line="240" w:lineRule="auto"/>
              <w:rPr>
                <w:highlight w:val="white"/>
              </w:rPr>
            </w:pPr>
            <w:r>
              <w:rPr>
                <w:highlight w:val="white"/>
              </w:rPr>
              <w:t>-6.61%</w:t>
            </w:r>
          </w:p>
        </w:tc>
        <w:tc>
          <w:tcPr>
            <w:tcW w:w="1665" w:type="dxa"/>
            <w:shd w:val="clear" w:color="auto" w:fill="auto"/>
            <w:tcMar>
              <w:top w:w="100" w:type="dxa"/>
              <w:left w:w="100" w:type="dxa"/>
              <w:bottom w:w="100" w:type="dxa"/>
              <w:right w:w="100" w:type="dxa"/>
            </w:tcMar>
          </w:tcPr>
          <w:p w14:paraId="65956E81" w14:textId="77777777" w:rsidR="0079560F" w:rsidRDefault="00B40299">
            <w:pPr>
              <w:widowControl w:val="0"/>
              <w:spacing w:line="240" w:lineRule="auto"/>
              <w:rPr>
                <w:highlight w:val="white"/>
              </w:rPr>
            </w:pPr>
            <w:r>
              <w:rPr>
                <w:highlight w:val="white"/>
              </w:rPr>
              <w:t>-5.54%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D4479" w14:textId="77777777" w:rsidR="0079560F" w:rsidRDefault="00B40299">
            <w:pPr>
              <w:widowControl w:val="0"/>
              <w:spacing w:line="240" w:lineRule="auto"/>
              <w:rPr>
                <w:highlight w:val="white"/>
              </w:rPr>
            </w:pPr>
            <w:r>
              <w:rPr>
                <w:highlight w:val="white"/>
              </w:rPr>
              <w:t>-5.60%</w:t>
            </w:r>
          </w:p>
        </w:tc>
        <w:tc>
          <w:tcPr>
            <w:tcW w:w="1665" w:type="dxa"/>
            <w:shd w:val="clear" w:color="auto" w:fill="auto"/>
            <w:tcMar>
              <w:top w:w="100" w:type="dxa"/>
              <w:left w:w="100" w:type="dxa"/>
              <w:bottom w:w="100" w:type="dxa"/>
              <w:right w:w="100" w:type="dxa"/>
            </w:tcMar>
          </w:tcPr>
          <w:p w14:paraId="67F8A83A" w14:textId="77777777" w:rsidR="0079560F" w:rsidRDefault="00B40299">
            <w:pPr>
              <w:widowControl w:val="0"/>
              <w:spacing w:line="240" w:lineRule="auto"/>
              <w:rPr>
                <w:highlight w:val="white"/>
              </w:rPr>
            </w:pPr>
            <w:r>
              <w:rPr>
                <w:highlight w:val="white"/>
              </w:rPr>
              <w:t>-1.86%</w:t>
            </w:r>
          </w:p>
        </w:tc>
        <w:tc>
          <w:tcPr>
            <w:tcW w:w="1665" w:type="dxa"/>
            <w:shd w:val="clear" w:color="auto" w:fill="auto"/>
            <w:tcMar>
              <w:top w:w="100" w:type="dxa"/>
              <w:left w:w="100" w:type="dxa"/>
              <w:bottom w:w="100" w:type="dxa"/>
              <w:right w:w="100" w:type="dxa"/>
            </w:tcMar>
          </w:tcPr>
          <w:p w14:paraId="495AA3D8" w14:textId="77777777" w:rsidR="0079560F" w:rsidRDefault="00B40299">
            <w:pPr>
              <w:widowControl w:val="0"/>
              <w:spacing w:line="240" w:lineRule="auto"/>
              <w:rPr>
                <w:highlight w:val="white"/>
              </w:rPr>
            </w:pPr>
            <w:r>
              <w:rPr>
                <w:highlight w:val="white"/>
              </w:rPr>
              <w:t>-</w:t>
            </w:r>
          </w:p>
        </w:tc>
      </w:tr>
      <w:tr w:rsidR="0079560F" w14:paraId="398C595D" w14:textId="77777777">
        <w:tc>
          <w:tcPr>
            <w:tcW w:w="1665" w:type="dxa"/>
            <w:shd w:val="clear" w:color="auto" w:fill="auto"/>
            <w:tcMar>
              <w:top w:w="100" w:type="dxa"/>
              <w:left w:w="100" w:type="dxa"/>
              <w:bottom w:w="100" w:type="dxa"/>
              <w:right w:w="100" w:type="dxa"/>
            </w:tcMar>
          </w:tcPr>
          <w:p w14:paraId="4F68661B" w14:textId="77777777" w:rsidR="0079560F" w:rsidRDefault="00B40299">
            <w:pPr>
              <w:widowControl w:val="0"/>
              <w:spacing w:line="240" w:lineRule="auto"/>
              <w:rPr>
                <w:highlight w:val="white"/>
              </w:rPr>
            </w:pPr>
            <w:r>
              <w:rPr>
                <w:highlight w:val="white"/>
              </w:rPr>
              <w:t>29/2/2020</w:t>
            </w:r>
          </w:p>
        </w:tc>
        <w:tc>
          <w:tcPr>
            <w:tcW w:w="1665" w:type="dxa"/>
            <w:shd w:val="clear" w:color="auto" w:fill="auto"/>
            <w:tcMar>
              <w:top w:w="100" w:type="dxa"/>
              <w:left w:w="100" w:type="dxa"/>
              <w:bottom w:w="100" w:type="dxa"/>
              <w:right w:w="100" w:type="dxa"/>
            </w:tcMar>
          </w:tcPr>
          <w:p w14:paraId="7321EFF9" w14:textId="77777777" w:rsidR="0079560F" w:rsidRDefault="00B40299">
            <w:pPr>
              <w:widowControl w:val="0"/>
              <w:spacing w:line="240" w:lineRule="auto"/>
              <w:rPr>
                <w:highlight w:val="white"/>
              </w:rPr>
            </w:pPr>
            <w:r>
              <w:rPr>
                <w:highlight w:val="white"/>
              </w:rPr>
              <w:t>-10.71%</w:t>
            </w:r>
          </w:p>
        </w:tc>
        <w:tc>
          <w:tcPr>
            <w:tcW w:w="1665" w:type="dxa"/>
            <w:shd w:val="clear" w:color="auto" w:fill="auto"/>
            <w:tcMar>
              <w:top w:w="100" w:type="dxa"/>
              <w:left w:w="100" w:type="dxa"/>
              <w:bottom w:w="100" w:type="dxa"/>
              <w:right w:w="100" w:type="dxa"/>
            </w:tcMar>
          </w:tcPr>
          <w:p w14:paraId="78001F4F" w14:textId="77777777" w:rsidR="0079560F" w:rsidRDefault="00B40299">
            <w:pPr>
              <w:widowControl w:val="0"/>
              <w:spacing w:line="240" w:lineRule="auto"/>
              <w:rPr>
                <w:highlight w:val="white"/>
              </w:rPr>
            </w:pPr>
            <w:r>
              <w:rPr>
                <w:highlight w:val="white"/>
              </w:rPr>
              <w:t>0.13%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E23A5" w14:textId="77777777" w:rsidR="0079560F" w:rsidRDefault="00B40299">
            <w:pPr>
              <w:widowControl w:val="0"/>
              <w:spacing w:line="240" w:lineRule="auto"/>
              <w:rPr>
                <w:highlight w:val="white"/>
              </w:rPr>
            </w:pPr>
            <w:r>
              <w:rPr>
                <w:highlight w:val="white"/>
              </w:rPr>
              <w:t>0.30%</w:t>
            </w:r>
          </w:p>
        </w:tc>
        <w:tc>
          <w:tcPr>
            <w:tcW w:w="1665" w:type="dxa"/>
            <w:shd w:val="clear" w:color="auto" w:fill="auto"/>
            <w:tcMar>
              <w:top w:w="100" w:type="dxa"/>
              <w:left w:w="100" w:type="dxa"/>
              <w:bottom w:w="100" w:type="dxa"/>
              <w:right w:w="100" w:type="dxa"/>
            </w:tcMar>
          </w:tcPr>
          <w:p w14:paraId="146A33DB" w14:textId="77777777" w:rsidR="0079560F" w:rsidRDefault="00B40299">
            <w:pPr>
              <w:widowControl w:val="0"/>
              <w:spacing w:line="240" w:lineRule="auto"/>
              <w:rPr>
                <w:highlight w:val="white"/>
              </w:rPr>
            </w:pPr>
            <w:r>
              <w:rPr>
                <w:highlight w:val="white"/>
              </w:rPr>
              <w:t>-8.13%</w:t>
            </w:r>
          </w:p>
        </w:tc>
        <w:tc>
          <w:tcPr>
            <w:tcW w:w="1665" w:type="dxa"/>
            <w:shd w:val="clear" w:color="auto" w:fill="auto"/>
            <w:tcMar>
              <w:top w:w="100" w:type="dxa"/>
              <w:left w:w="100" w:type="dxa"/>
              <w:bottom w:w="100" w:type="dxa"/>
              <w:right w:w="100" w:type="dxa"/>
            </w:tcMar>
          </w:tcPr>
          <w:p w14:paraId="495413E7" w14:textId="77777777" w:rsidR="0079560F" w:rsidRDefault="00B40299">
            <w:pPr>
              <w:widowControl w:val="0"/>
              <w:spacing w:line="240" w:lineRule="auto"/>
              <w:rPr>
                <w:highlight w:val="white"/>
              </w:rPr>
            </w:pPr>
            <w:r>
              <w:rPr>
                <w:highlight w:val="white"/>
              </w:rPr>
              <w:t>-</w:t>
            </w:r>
          </w:p>
        </w:tc>
      </w:tr>
      <w:tr w:rsidR="0079560F" w14:paraId="3A492EDB" w14:textId="77777777">
        <w:tc>
          <w:tcPr>
            <w:tcW w:w="1665" w:type="dxa"/>
            <w:shd w:val="clear" w:color="auto" w:fill="auto"/>
            <w:tcMar>
              <w:top w:w="100" w:type="dxa"/>
              <w:left w:w="100" w:type="dxa"/>
              <w:bottom w:w="100" w:type="dxa"/>
              <w:right w:w="100" w:type="dxa"/>
            </w:tcMar>
          </w:tcPr>
          <w:p w14:paraId="584D1375" w14:textId="77777777" w:rsidR="0079560F" w:rsidRDefault="00B40299">
            <w:pPr>
              <w:widowControl w:val="0"/>
              <w:spacing w:line="240" w:lineRule="auto"/>
              <w:rPr>
                <w:highlight w:val="white"/>
              </w:rPr>
            </w:pPr>
            <w:r>
              <w:rPr>
                <w:highlight w:val="white"/>
              </w:rPr>
              <w:t>31/3/2020</w:t>
            </w:r>
          </w:p>
        </w:tc>
        <w:tc>
          <w:tcPr>
            <w:tcW w:w="1665" w:type="dxa"/>
            <w:shd w:val="clear" w:color="auto" w:fill="auto"/>
            <w:tcMar>
              <w:top w:w="100" w:type="dxa"/>
              <w:left w:w="100" w:type="dxa"/>
              <w:bottom w:w="100" w:type="dxa"/>
              <w:right w:w="100" w:type="dxa"/>
            </w:tcMar>
          </w:tcPr>
          <w:p w14:paraId="1FF06512" w14:textId="77777777" w:rsidR="0079560F" w:rsidRDefault="00B40299">
            <w:pPr>
              <w:widowControl w:val="0"/>
              <w:spacing w:line="240" w:lineRule="auto"/>
              <w:rPr>
                <w:highlight w:val="white"/>
              </w:rPr>
            </w:pPr>
            <w:r>
              <w:rPr>
                <w:highlight w:val="white"/>
              </w:rPr>
              <w:t>-15.21%</w:t>
            </w:r>
          </w:p>
        </w:tc>
        <w:tc>
          <w:tcPr>
            <w:tcW w:w="1665" w:type="dxa"/>
            <w:shd w:val="clear" w:color="auto" w:fill="auto"/>
            <w:tcMar>
              <w:top w:w="100" w:type="dxa"/>
              <w:left w:w="100" w:type="dxa"/>
              <w:bottom w:w="100" w:type="dxa"/>
              <w:right w:w="100" w:type="dxa"/>
            </w:tcMar>
          </w:tcPr>
          <w:p w14:paraId="646216CA" w14:textId="77777777" w:rsidR="0079560F" w:rsidRDefault="00B40299">
            <w:pPr>
              <w:widowControl w:val="0"/>
              <w:spacing w:line="240" w:lineRule="auto"/>
              <w:rPr>
                <w:highlight w:val="white"/>
              </w:rPr>
            </w:pPr>
            <w:r>
              <w:rPr>
                <w:highlight w:val="white"/>
              </w:rPr>
              <w:t>-4.49%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12684" w14:textId="77777777" w:rsidR="0079560F" w:rsidRDefault="00B40299">
            <w:pPr>
              <w:widowControl w:val="0"/>
              <w:spacing w:line="240" w:lineRule="auto"/>
              <w:rPr>
                <w:highlight w:val="white"/>
              </w:rPr>
            </w:pPr>
            <w:r>
              <w:rPr>
                <w:highlight w:val="white"/>
              </w:rPr>
              <w:t>-5.38%</w:t>
            </w:r>
          </w:p>
        </w:tc>
        <w:tc>
          <w:tcPr>
            <w:tcW w:w="1665" w:type="dxa"/>
            <w:shd w:val="clear" w:color="auto" w:fill="auto"/>
            <w:tcMar>
              <w:top w:w="100" w:type="dxa"/>
              <w:left w:w="100" w:type="dxa"/>
              <w:bottom w:w="100" w:type="dxa"/>
              <w:right w:w="100" w:type="dxa"/>
            </w:tcMar>
          </w:tcPr>
          <w:p w14:paraId="06FF5559" w14:textId="77777777" w:rsidR="0079560F" w:rsidRDefault="00B40299">
            <w:pPr>
              <w:widowControl w:val="0"/>
              <w:spacing w:line="240" w:lineRule="auto"/>
              <w:rPr>
                <w:highlight w:val="white"/>
              </w:rPr>
            </w:pPr>
            <w:r>
              <w:rPr>
                <w:highlight w:val="white"/>
              </w:rPr>
              <w:t>-16.53%</w:t>
            </w:r>
          </w:p>
        </w:tc>
        <w:tc>
          <w:tcPr>
            <w:tcW w:w="1665" w:type="dxa"/>
            <w:shd w:val="clear" w:color="auto" w:fill="auto"/>
            <w:tcMar>
              <w:top w:w="100" w:type="dxa"/>
              <w:left w:w="100" w:type="dxa"/>
              <w:bottom w:w="100" w:type="dxa"/>
              <w:right w:w="100" w:type="dxa"/>
            </w:tcMar>
          </w:tcPr>
          <w:p w14:paraId="0C79DE13" w14:textId="77777777" w:rsidR="0079560F" w:rsidRDefault="00B40299">
            <w:pPr>
              <w:widowControl w:val="0"/>
              <w:spacing w:line="240" w:lineRule="auto"/>
              <w:rPr>
                <w:highlight w:val="white"/>
              </w:rPr>
            </w:pPr>
            <w:r>
              <w:rPr>
                <w:highlight w:val="white"/>
              </w:rPr>
              <w:t>-</w:t>
            </w:r>
          </w:p>
        </w:tc>
      </w:tr>
      <w:tr w:rsidR="0079560F" w14:paraId="2A1C7EFB" w14:textId="77777777">
        <w:tc>
          <w:tcPr>
            <w:tcW w:w="1665" w:type="dxa"/>
            <w:shd w:val="clear" w:color="auto" w:fill="auto"/>
            <w:tcMar>
              <w:top w:w="100" w:type="dxa"/>
              <w:left w:w="100" w:type="dxa"/>
              <w:bottom w:w="100" w:type="dxa"/>
              <w:right w:w="100" w:type="dxa"/>
            </w:tcMar>
          </w:tcPr>
          <w:p w14:paraId="24976AFE" w14:textId="77777777" w:rsidR="0079560F" w:rsidRDefault="00B40299">
            <w:pPr>
              <w:widowControl w:val="0"/>
              <w:spacing w:line="240" w:lineRule="auto"/>
              <w:rPr>
                <w:highlight w:val="white"/>
              </w:rPr>
            </w:pPr>
            <w:r>
              <w:rPr>
                <w:highlight w:val="white"/>
              </w:rPr>
              <w:t>30/4/2020</w:t>
            </w:r>
          </w:p>
        </w:tc>
        <w:tc>
          <w:tcPr>
            <w:tcW w:w="1665" w:type="dxa"/>
            <w:shd w:val="clear" w:color="auto" w:fill="auto"/>
            <w:tcMar>
              <w:top w:w="100" w:type="dxa"/>
              <w:left w:w="100" w:type="dxa"/>
              <w:bottom w:w="100" w:type="dxa"/>
              <w:right w:w="100" w:type="dxa"/>
            </w:tcMar>
          </w:tcPr>
          <w:p w14:paraId="5FF0472C" w14:textId="77777777" w:rsidR="0079560F" w:rsidRDefault="00B40299">
            <w:pPr>
              <w:widowControl w:val="0"/>
              <w:spacing w:line="240" w:lineRule="auto"/>
              <w:rPr>
                <w:highlight w:val="white"/>
              </w:rPr>
            </w:pPr>
            <w:r>
              <w:rPr>
                <w:highlight w:val="white"/>
              </w:rPr>
              <w:t>21.86%</w:t>
            </w:r>
          </w:p>
        </w:tc>
        <w:tc>
          <w:tcPr>
            <w:tcW w:w="1665" w:type="dxa"/>
            <w:shd w:val="clear" w:color="auto" w:fill="auto"/>
            <w:tcMar>
              <w:top w:w="100" w:type="dxa"/>
              <w:left w:w="100" w:type="dxa"/>
              <w:bottom w:w="100" w:type="dxa"/>
              <w:right w:w="100" w:type="dxa"/>
            </w:tcMar>
          </w:tcPr>
          <w:p w14:paraId="1FE745F8" w14:textId="77777777" w:rsidR="0079560F" w:rsidRDefault="00B40299">
            <w:pPr>
              <w:widowControl w:val="0"/>
              <w:spacing w:line="240" w:lineRule="auto"/>
              <w:rPr>
                <w:highlight w:val="white"/>
              </w:rPr>
            </w:pPr>
            <w:r>
              <w:rPr>
                <w:highlight w:val="white"/>
              </w:rPr>
              <w:t>15.86%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3EC8D" w14:textId="77777777" w:rsidR="0079560F" w:rsidRDefault="00B40299">
            <w:pPr>
              <w:widowControl w:val="0"/>
              <w:spacing w:line="240" w:lineRule="auto"/>
              <w:rPr>
                <w:highlight w:val="white"/>
              </w:rPr>
            </w:pPr>
            <w:r>
              <w:rPr>
                <w:highlight w:val="white"/>
              </w:rPr>
              <w:t>14.97%</w:t>
            </w:r>
          </w:p>
        </w:tc>
        <w:tc>
          <w:tcPr>
            <w:tcW w:w="1665" w:type="dxa"/>
            <w:shd w:val="clear" w:color="auto" w:fill="auto"/>
            <w:tcMar>
              <w:top w:w="100" w:type="dxa"/>
              <w:left w:w="100" w:type="dxa"/>
              <w:bottom w:w="100" w:type="dxa"/>
              <w:right w:w="100" w:type="dxa"/>
            </w:tcMar>
          </w:tcPr>
          <w:p w14:paraId="28468C34" w14:textId="77777777" w:rsidR="0079560F" w:rsidRDefault="00B40299">
            <w:pPr>
              <w:widowControl w:val="0"/>
              <w:spacing w:line="240" w:lineRule="auto"/>
              <w:rPr>
                <w:highlight w:val="white"/>
              </w:rPr>
            </w:pPr>
            <w:r>
              <w:rPr>
                <w:highlight w:val="white"/>
              </w:rPr>
              <w:t>19.36%</w:t>
            </w:r>
          </w:p>
        </w:tc>
        <w:tc>
          <w:tcPr>
            <w:tcW w:w="1665" w:type="dxa"/>
            <w:shd w:val="clear" w:color="auto" w:fill="auto"/>
            <w:tcMar>
              <w:top w:w="100" w:type="dxa"/>
              <w:left w:w="100" w:type="dxa"/>
              <w:bottom w:w="100" w:type="dxa"/>
              <w:right w:w="100" w:type="dxa"/>
            </w:tcMar>
          </w:tcPr>
          <w:p w14:paraId="357D7C76" w14:textId="77777777" w:rsidR="0079560F" w:rsidRDefault="00B40299">
            <w:pPr>
              <w:widowControl w:val="0"/>
              <w:spacing w:line="240" w:lineRule="auto"/>
              <w:rPr>
                <w:highlight w:val="white"/>
              </w:rPr>
            </w:pPr>
            <w:r>
              <w:rPr>
                <w:highlight w:val="white"/>
              </w:rPr>
              <w:t>-</w:t>
            </w:r>
          </w:p>
        </w:tc>
      </w:tr>
      <w:tr w:rsidR="0079560F" w14:paraId="6FEA578D" w14:textId="77777777">
        <w:tc>
          <w:tcPr>
            <w:tcW w:w="1665" w:type="dxa"/>
            <w:shd w:val="clear" w:color="auto" w:fill="auto"/>
            <w:tcMar>
              <w:top w:w="100" w:type="dxa"/>
              <w:left w:w="100" w:type="dxa"/>
              <w:bottom w:w="100" w:type="dxa"/>
              <w:right w:w="100" w:type="dxa"/>
            </w:tcMar>
          </w:tcPr>
          <w:p w14:paraId="22401AEF" w14:textId="77777777" w:rsidR="0079560F" w:rsidRDefault="00B40299">
            <w:pPr>
              <w:widowControl w:val="0"/>
              <w:spacing w:line="240" w:lineRule="auto"/>
              <w:rPr>
                <w:highlight w:val="white"/>
              </w:rPr>
            </w:pPr>
            <w:r>
              <w:rPr>
                <w:highlight w:val="white"/>
              </w:rPr>
              <w:t>31/5/2020</w:t>
            </w:r>
          </w:p>
        </w:tc>
        <w:tc>
          <w:tcPr>
            <w:tcW w:w="1665" w:type="dxa"/>
            <w:shd w:val="clear" w:color="auto" w:fill="auto"/>
            <w:tcMar>
              <w:top w:w="100" w:type="dxa"/>
              <w:left w:w="100" w:type="dxa"/>
              <w:bottom w:w="100" w:type="dxa"/>
              <w:right w:w="100" w:type="dxa"/>
            </w:tcMar>
          </w:tcPr>
          <w:p w14:paraId="1055FBB3" w14:textId="77777777" w:rsidR="0079560F" w:rsidRDefault="00B40299">
            <w:pPr>
              <w:widowControl w:val="0"/>
              <w:spacing w:line="240" w:lineRule="auto"/>
              <w:rPr>
                <w:highlight w:val="white"/>
              </w:rPr>
            </w:pPr>
            <w:r>
              <w:rPr>
                <w:highlight w:val="white"/>
              </w:rPr>
              <w:t>14.94%</w:t>
            </w:r>
          </w:p>
        </w:tc>
        <w:tc>
          <w:tcPr>
            <w:tcW w:w="1665" w:type="dxa"/>
            <w:shd w:val="clear" w:color="auto" w:fill="auto"/>
            <w:tcMar>
              <w:top w:w="100" w:type="dxa"/>
              <w:left w:w="100" w:type="dxa"/>
              <w:bottom w:w="100" w:type="dxa"/>
              <w:right w:w="100" w:type="dxa"/>
            </w:tcMar>
          </w:tcPr>
          <w:p w14:paraId="4DA5B055" w14:textId="77777777" w:rsidR="0079560F" w:rsidRDefault="00B40299">
            <w:pPr>
              <w:widowControl w:val="0"/>
              <w:spacing w:line="240" w:lineRule="auto"/>
              <w:rPr>
                <w:highlight w:val="white"/>
              </w:rPr>
            </w:pPr>
            <w:r>
              <w:rPr>
                <w:highlight w:val="white"/>
              </w:rPr>
              <w:t>7.63%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A9075" w14:textId="77777777" w:rsidR="0079560F" w:rsidRDefault="00B40299">
            <w:pPr>
              <w:widowControl w:val="0"/>
              <w:spacing w:line="240" w:lineRule="auto"/>
              <w:rPr>
                <w:highlight w:val="white"/>
              </w:rPr>
            </w:pPr>
            <w:r>
              <w:rPr>
                <w:highlight w:val="white"/>
              </w:rPr>
              <w:t>8.45%</w:t>
            </w:r>
          </w:p>
        </w:tc>
        <w:tc>
          <w:tcPr>
            <w:tcW w:w="1665" w:type="dxa"/>
            <w:shd w:val="clear" w:color="auto" w:fill="auto"/>
            <w:tcMar>
              <w:top w:w="100" w:type="dxa"/>
              <w:left w:w="100" w:type="dxa"/>
              <w:bottom w:w="100" w:type="dxa"/>
              <w:right w:w="100" w:type="dxa"/>
            </w:tcMar>
          </w:tcPr>
          <w:p w14:paraId="5B34C1B4" w14:textId="77777777" w:rsidR="0079560F" w:rsidRDefault="00B40299">
            <w:pPr>
              <w:widowControl w:val="0"/>
              <w:spacing w:line="240" w:lineRule="auto"/>
              <w:rPr>
                <w:highlight w:val="white"/>
              </w:rPr>
            </w:pPr>
            <w:r>
              <w:rPr>
                <w:highlight w:val="white"/>
              </w:rPr>
              <w:t>11.27%</w:t>
            </w:r>
          </w:p>
        </w:tc>
        <w:tc>
          <w:tcPr>
            <w:tcW w:w="1665" w:type="dxa"/>
            <w:shd w:val="clear" w:color="auto" w:fill="auto"/>
            <w:tcMar>
              <w:top w:w="100" w:type="dxa"/>
              <w:left w:w="100" w:type="dxa"/>
              <w:bottom w:w="100" w:type="dxa"/>
              <w:right w:w="100" w:type="dxa"/>
            </w:tcMar>
          </w:tcPr>
          <w:p w14:paraId="11F7F122" w14:textId="77777777" w:rsidR="0079560F" w:rsidRDefault="00B40299">
            <w:pPr>
              <w:widowControl w:val="0"/>
              <w:spacing w:line="240" w:lineRule="auto"/>
              <w:rPr>
                <w:highlight w:val="white"/>
              </w:rPr>
            </w:pPr>
            <w:r>
              <w:rPr>
                <w:highlight w:val="white"/>
              </w:rPr>
              <w:t>-</w:t>
            </w:r>
          </w:p>
        </w:tc>
      </w:tr>
      <w:tr w:rsidR="0079560F" w14:paraId="03EEAA17" w14:textId="77777777">
        <w:tc>
          <w:tcPr>
            <w:tcW w:w="1665" w:type="dxa"/>
            <w:shd w:val="clear" w:color="auto" w:fill="auto"/>
            <w:tcMar>
              <w:top w:w="100" w:type="dxa"/>
              <w:left w:w="100" w:type="dxa"/>
              <w:bottom w:w="100" w:type="dxa"/>
              <w:right w:w="100" w:type="dxa"/>
            </w:tcMar>
          </w:tcPr>
          <w:p w14:paraId="0C2DB0E4" w14:textId="77777777" w:rsidR="0079560F" w:rsidRDefault="00B40299">
            <w:pPr>
              <w:widowControl w:val="0"/>
              <w:spacing w:line="240" w:lineRule="auto"/>
              <w:rPr>
                <w:highlight w:val="white"/>
              </w:rPr>
            </w:pPr>
            <w:r>
              <w:rPr>
                <w:highlight w:val="white"/>
              </w:rPr>
              <w:t>30/6/2020</w:t>
            </w:r>
          </w:p>
        </w:tc>
        <w:tc>
          <w:tcPr>
            <w:tcW w:w="1665" w:type="dxa"/>
            <w:shd w:val="clear" w:color="auto" w:fill="auto"/>
            <w:tcMar>
              <w:top w:w="100" w:type="dxa"/>
              <w:left w:w="100" w:type="dxa"/>
              <w:bottom w:w="100" w:type="dxa"/>
              <w:right w:w="100" w:type="dxa"/>
            </w:tcMar>
          </w:tcPr>
          <w:p w14:paraId="4FE7C743" w14:textId="77777777" w:rsidR="0079560F" w:rsidRDefault="00B40299">
            <w:pPr>
              <w:widowControl w:val="0"/>
              <w:spacing w:line="240" w:lineRule="auto"/>
              <w:rPr>
                <w:highlight w:val="white"/>
              </w:rPr>
            </w:pPr>
            <w:r>
              <w:rPr>
                <w:highlight w:val="white"/>
              </w:rPr>
              <w:t>5.39%</w:t>
            </w:r>
          </w:p>
        </w:tc>
        <w:tc>
          <w:tcPr>
            <w:tcW w:w="1665" w:type="dxa"/>
            <w:shd w:val="clear" w:color="auto" w:fill="auto"/>
            <w:tcMar>
              <w:top w:w="100" w:type="dxa"/>
              <w:left w:w="100" w:type="dxa"/>
              <w:bottom w:w="100" w:type="dxa"/>
              <w:right w:w="100" w:type="dxa"/>
            </w:tcMar>
          </w:tcPr>
          <w:p w14:paraId="09D4242B" w14:textId="77777777" w:rsidR="0079560F" w:rsidRDefault="00B40299">
            <w:pPr>
              <w:widowControl w:val="0"/>
              <w:spacing w:line="240" w:lineRule="auto"/>
              <w:rPr>
                <w:highlight w:val="white"/>
              </w:rPr>
            </w:pPr>
            <w:r>
              <w:rPr>
                <w:highlight w:val="white"/>
              </w:rPr>
              <w:t>1.50%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C3C65" w14:textId="77777777" w:rsidR="0079560F" w:rsidRDefault="00B40299">
            <w:pPr>
              <w:widowControl w:val="0"/>
              <w:spacing w:line="240" w:lineRule="auto"/>
              <w:rPr>
                <w:highlight w:val="white"/>
              </w:rPr>
            </w:pPr>
            <w:r>
              <w:rPr>
                <w:highlight w:val="white"/>
              </w:rPr>
              <w:t>1.61%</w:t>
            </w:r>
          </w:p>
        </w:tc>
        <w:tc>
          <w:tcPr>
            <w:tcW w:w="1665" w:type="dxa"/>
            <w:shd w:val="clear" w:color="auto" w:fill="auto"/>
            <w:tcMar>
              <w:top w:w="100" w:type="dxa"/>
              <w:left w:w="100" w:type="dxa"/>
              <w:bottom w:w="100" w:type="dxa"/>
              <w:right w:w="100" w:type="dxa"/>
            </w:tcMar>
          </w:tcPr>
          <w:p w14:paraId="7B25C00F" w14:textId="77777777" w:rsidR="0079560F" w:rsidRDefault="00B40299">
            <w:pPr>
              <w:widowControl w:val="0"/>
              <w:spacing w:line="240" w:lineRule="auto"/>
              <w:rPr>
                <w:highlight w:val="white"/>
              </w:rPr>
            </w:pPr>
            <w:r>
              <w:rPr>
                <w:highlight w:val="white"/>
              </w:rPr>
              <w:t>4.43%</w:t>
            </w:r>
          </w:p>
        </w:tc>
        <w:tc>
          <w:tcPr>
            <w:tcW w:w="1665" w:type="dxa"/>
            <w:shd w:val="clear" w:color="auto" w:fill="auto"/>
            <w:tcMar>
              <w:top w:w="100" w:type="dxa"/>
              <w:left w:w="100" w:type="dxa"/>
              <w:bottom w:w="100" w:type="dxa"/>
              <w:right w:w="100" w:type="dxa"/>
            </w:tcMar>
          </w:tcPr>
          <w:p w14:paraId="724609B0" w14:textId="77777777" w:rsidR="0079560F" w:rsidRDefault="00B40299">
            <w:pPr>
              <w:widowControl w:val="0"/>
              <w:spacing w:line="240" w:lineRule="auto"/>
              <w:rPr>
                <w:highlight w:val="white"/>
              </w:rPr>
            </w:pPr>
            <w:r>
              <w:rPr>
                <w:highlight w:val="white"/>
              </w:rPr>
              <w:t>-</w:t>
            </w:r>
          </w:p>
        </w:tc>
      </w:tr>
      <w:tr w:rsidR="0079560F" w14:paraId="6E2BE487" w14:textId="77777777">
        <w:tc>
          <w:tcPr>
            <w:tcW w:w="1665" w:type="dxa"/>
            <w:shd w:val="clear" w:color="auto" w:fill="auto"/>
            <w:tcMar>
              <w:top w:w="100" w:type="dxa"/>
              <w:left w:w="100" w:type="dxa"/>
              <w:bottom w:w="100" w:type="dxa"/>
              <w:right w:w="100" w:type="dxa"/>
            </w:tcMar>
          </w:tcPr>
          <w:p w14:paraId="75FFDF49" w14:textId="77777777" w:rsidR="0079560F" w:rsidRDefault="00B40299">
            <w:pPr>
              <w:widowControl w:val="0"/>
              <w:spacing w:line="240" w:lineRule="auto"/>
              <w:rPr>
                <w:highlight w:val="white"/>
              </w:rPr>
            </w:pPr>
            <w:r>
              <w:rPr>
                <w:highlight w:val="white"/>
              </w:rPr>
              <w:t>31/7/2020</w:t>
            </w:r>
          </w:p>
        </w:tc>
        <w:tc>
          <w:tcPr>
            <w:tcW w:w="1665" w:type="dxa"/>
            <w:shd w:val="clear" w:color="auto" w:fill="auto"/>
            <w:tcMar>
              <w:top w:w="100" w:type="dxa"/>
              <w:left w:w="100" w:type="dxa"/>
              <w:bottom w:w="100" w:type="dxa"/>
              <w:right w:w="100" w:type="dxa"/>
            </w:tcMar>
          </w:tcPr>
          <w:p w14:paraId="7425F6CB" w14:textId="77777777" w:rsidR="0079560F" w:rsidRDefault="00B40299">
            <w:pPr>
              <w:widowControl w:val="0"/>
              <w:spacing w:line="240" w:lineRule="auto"/>
              <w:rPr>
                <w:highlight w:val="white"/>
              </w:rPr>
            </w:pPr>
            <w:r>
              <w:rPr>
                <w:highlight w:val="white"/>
              </w:rPr>
              <w:t>-0.52%</w:t>
            </w:r>
          </w:p>
        </w:tc>
        <w:tc>
          <w:tcPr>
            <w:tcW w:w="1665" w:type="dxa"/>
            <w:shd w:val="clear" w:color="auto" w:fill="auto"/>
            <w:tcMar>
              <w:top w:w="100" w:type="dxa"/>
              <w:left w:w="100" w:type="dxa"/>
              <w:bottom w:w="100" w:type="dxa"/>
              <w:right w:w="100" w:type="dxa"/>
            </w:tcMar>
          </w:tcPr>
          <w:p w14:paraId="6F79AC93" w14:textId="77777777" w:rsidR="0079560F" w:rsidRDefault="00B40299">
            <w:pPr>
              <w:widowControl w:val="0"/>
              <w:spacing w:line="240" w:lineRule="auto"/>
              <w:rPr>
                <w:highlight w:val="white"/>
              </w:rPr>
            </w:pPr>
            <w:r>
              <w:rPr>
                <w:highlight w:val="white"/>
              </w:rPr>
              <w:t>-0.92%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E73B9" w14:textId="77777777" w:rsidR="0079560F" w:rsidRDefault="00B40299">
            <w:pPr>
              <w:widowControl w:val="0"/>
              <w:spacing w:line="240" w:lineRule="auto"/>
              <w:rPr>
                <w:highlight w:val="white"/>
              </w:rPr>
            </w:pPr>
            <w:r>
              <w:rPr>
                <w:highlight w:val="white"/>
              </w:rPr>
              <w:t>-1.70%</w:t>
            </w:r>
          </w:p>
        </w:tc>
        <w:tc>
          <w:tcPr>
            <w:tcW w:w="1665" w:type="dxa"/>
            <w:shd w:val="clear" w:color="auto" w:fill="auto"/>
            <w:tcMar>
              <w:top w:w="100" w:type="dxa"/>
              <w:left w:w="100" w:type="dxa"/>
              <w:bottom w:w="100" w:type="dxa"/>
              <w:right w:w="100" w:type="dxa"/>
            </w:tcMar>
          </w:tcPr>
          <w:p w14:paraId="560A3E79" w14:textId="77777777" w:rsidR="0079560F" w:rsidRDefault="00B40299">
            <w:pPr>
              <w:widowControl w:val="0"/>
              <w:spacing w:line="240" w:lineRule="auto"/>
              <w:rPr>
                <w:highlight w:val="white"/>
              </w:rPr>
            </w:pPr>
            <w:r>
              <w:rPr>
                <w:highlight w:val="white"/>
              </w:rPr>
              <w:t>-6.43%</w:t>
            </w:r>
          </w:p>
        </w:tc>
        <w:tc>
          <w:tcPr>
            <w:tcW w:w="1665" w:type="dxa"/>
            <w:shd w:val="clear" w:color="auto" w:fill="auto"/>
            <w:tcMar>
              <w:top w:w="100" w:type="dxa"/>
              <w:left w:w="100" w:type="dxa"/>
              <w:bottom w:w="100" w:type="dxa"/>
              <w:right w:w="100" w:type="dxa"/>
            </w:tcMar>
          </w:tcPr>
          <w:p w14:paraId="620B7F9F" w14:textId="77777777" w:rsidR="0079560F" w:rsidRDefault="00B40299">
            <w:pPr>
              <w:widowControl w:val="0"/>
              <w:spacing w:line="240" w:lineRule="auto"/>
              <w:rPr>
                <w:highlight w:val="white"/>
              </w:rPr>
            </w:pPr>
            <w:r>
              <w:rPr>
                <w:highlight w:val="white"/>
              </w:rPr>
              <w:t>-</w:t>
            </w:r>
          </w:p>
        </w:tc>
      </w:tr>
      <w:tr w:rsidR="0079560F" w14:paraId="5E317D95" w14:textId="77777777">
        <w:tc>
          <w:tcPr>
            <w:tcW w:w="1665" w:type="dxa"/>
            <w:shd w:val="clear" w:color="auto" w:fill="auto"/>
            <w:tcMar>
              <w:top w:w="100" w:type="dxa"/>
              <w:left w:w="100" w:type="dxa"/>
              <w:bottom w:w="100" w:type="dxa"/>
              <w:right w:w="100" w:type="dxa"/>
            </w:tcMar>
          </w:tcPr>
          <w:p w14:paraId="24EB1338" w14:textId="77777777" w:rsidR="0079560F" w:rsidRDefault="00B40299">
            <w:pPr>
              <w:widowControl w:val="0"/>
              <w:spacing w:line="240" w:lineRule="auto"/>
              <w:rPr>
                <w:highlight w:val="white"/>
              </w:rPr>
            </w:pPr>
            <w:r>
              <w:rPr>
                <w:highlight w:val="white"/>
              </w:rPr>
              <w:t>31/8/2020</w:t>
            </w:r>
          </w:p>
        </w:tc>
        <w:tc>
          <w:tcPr>
            <w:tcW w:w="1665" w:type="dxa"/>
            <w:shd w:val="clear" w:color="auto" w:fill="auto"/>
            <w:tcMar>
              <w:top w:w="100" w:type="dxa"/>
              <w:left w:w="100" w:type="dxa"/>
              <w:bottom w:w="100" w:type="dxa"/>
              <w:right w:w="100" w:type="dxa"/>
            </w:tcMar>
          </w:tcPr>
          <w:p w14:paraId="694D0EB4" w14:textId="77777777" w:rsidR="0079560F" w:rsidRDefault="00B40299">
            <w:pPr>
              <w:widowControl w:val="0"/>
              <w:spacing w:line="240" w:lineRule="auto"/>
              <w:rPr>
                <w:highlight w:val="white"/>
              </w:rPr>
            </w:pPr>
            <w:r>
              <w:rPr>
                <w:highlight w:val="white"/>
              </w:rPr>
              <w:t>13.04%</w:t>
            </w:r>
          </w:p>
        </w:tc>
        <w:tc>
          <w:tcPr>
            <w:tcW w:w="1665" w:type="dxa"/>
            <w:shd w:val="clear" w:color="auto" w:fill="auto"/>
            <w:tcMar>
              <w:top w:w="100" w:type="dxa"/>
              <w:left w:w="100" w:type="dxa"/>
              <w:bottom w:w="100" w:type="dxa"/>
              <w:right w:w="100" w:type="dxa"/>
            </w:tcMar>
          </w:tcPr>
          <w:p w14:paraId="4C39F48B" w14:textId="77777777" w:rsidR="0079560F" w:rsidRDefault="00B40299">
            <w:pPr>
              <w:widowControl w:val="0"/>
              <w:spacing w:line="240" w:lineRule="auto"/>
              <w:rPr>
                <w:highlight w:val="white"/>
              </w:rPr>
            </w:pPr>
            <w:r>
              <w:rPr>
                <w:highlight w:val="white"/>
              </w:rPr>
              <w:t>-1.25%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75A93" w14:textId="77777777" w:rsidR="0079560F" w:rsidRDefault="00B40299">
            <w:pPr>
              <w:widowControl w:val="0"/>
              <w:spacing w:line="240" w:lineRule="auto"/>
              <w:rPr>
                <w:highlight w:val="white"/>
              </w:rPr>
            </w:pPr>
            <w:r>
              <w:rPr>
                <w:highlight w:val="white"/>
              </w:rPr>
              <w:t>0.90%</w:t>
            </w:r>
          </w:p>
        </w:tc>
        <w:tc>
          <w:tcPr>
            <w:tcW w:w="1665" w:type="dxa"/>
            <w:shd w:val="clear" w:color="auto" w:fill="auto"/>
            <w:tcMar>
              <w:top w:w="100" w:type="dxa"/>
              <w:left w:w="100" w:type="dxa"/>
              <w:bottom w:w="100" w:type="dxa"/>
              <w:right w:w="100" w:type="dxa"/>
            </w:tcMar>
          </w:tcPr>
          <w:p w14:paraId="260AB0B1" w14:textId="77777777" w:rsidR="0079560F" w:rsidRDefault="00B40299">
            <w:pPr>
              <w:widowControl w:val="0"/>
              <w:spacing w:line="240" w:lineRule="auto"/>
              <w:rPr>
                <w:highlight w:val="white"/>
              </w:rPr>
            </w:pPr>
            <w:r>
              <w:rPr>
                <w:highlight w:val="white"/>
              </w:rPr>
              <w:t>13.99%</w:t>
            </w:r>
          </w:p>
        </w:tc>
        <w:tc>
          <w:tcPr>
            <w:tcW w:w="1665" w:type="dxa"/>
            <w:shd w:val="clear" w:color="auto" w:fill="auto"/>
            <w:tcMar>
              <w:top w:w="100" w:type="dxa"/>
              <w:left w:w="100" w:type="dxa"/>
              <w:bottom w:w="100" w:type="dxa"/>
              <w:right w:w="100" w:type="dxa"/>
            </w:tcMar>
          </w:tcPr>
          <w:p w14:paraId="03293060" w14:textId="77777777" w:rsidR="0079560F" w:rsidRDefault="00B40299">
            <w:pPr>
              <w:widowControl w:val="0"/>
              <w:spacing w:line="240" w:lineRule="auto"/>
              <w:rPr>
                <w:highlight w:val="white"/>
              </w:rPr>
            </w:pPr>
            <w:r>
              <w:rPr>
                <w:highlight w:val="white"/>
              </w:rPr>
              <w:t>-</w:t>
            </w:r>
          </w:p>
        </w:tc>
      </w:tr>
      <w:tr w:rsidR="0079560F" w14:paraId="7E86CD8A" w14:textId="77777777">
        <w:tc>
          <w:tcPr>
            <w:tcW w:w="1665" w:type="dxa"/>
            <w:shd w:val="clear" w:color="auto" w:fill="auto"/>
            <w:tcMar>
              <w:top w:w="100" w:type="dxa"/>
              <w:left w:w="100" w:type="dxa"/>
              <w:bottom w:w="100" w:type="dxa"/>
              <w:right w:w="100" w:type="dxa"/>
            </w:tcMar>
          </w:tcPr>
          <w:p w14:paraId="2BABAB81" w14:textId="77777777" w:rsidR="0079560F" w:rsidRDefault="00B40299">
            <w:pPr>
              <w:widowControl w:val="0"/>
              <w:spacing w:line="240" w:lineRule="auto"/>
              <w:rPr>
                <w:highlight w:val="white"/>
              </w:rPr>
            </w:pPr>
            <w:r>
              <w:rPr>
                <w:highlight w:val="white"/>
              </w:rPr>
              <w:t>30/9/2020</w:t>
            </w:r>
          </w:p>
        </w:tc>
        <w:tc>
          <w:tcPr>
            <w:tcW w:w="1665" w:type="dxa"/>
            <w:shd w:val="clear" w:color="auto" w:fill="auto"/>
            <w:tcMar>
              <w:top w:w="100" w:type="dxa"/>
              <w:left w:w="100" w:type="dxa"/>
              <w:bottom w:w="100" w:type="dxa"/>
              <w:right w:w="100" w:type="dxa"/>
            </w:tcMar>
          </w:tcPr>
          <w:p w14:paraId="73DF2D55" w14:textId="77777777" w:rsidR="0079560F" w:rsidRDefault="00B40299">
            <w:pPr>
              <w:widowControl w:val="0"/>
              <w:spacing w:line="240" w:lineRule="auto"/>
              <w:rPr>
                <w:highlight w:val="white"/>
              </w:rPr>
            </w:pPr>
            <w:r>
              <w:rPr>
                <w:highlight w:val="white"/>
              </w:rPr>
              <w:t>2.00%</w:t>
            </w:r>
          </w:p>
        </w:tc>
        <w:tc>
          <w:tcPr>
            <w:tcW w:w="1665" w:type="dxa"/>
            <w:shd w:val="clear" w:color="auto" w:fill="auto"/>
            <w:tcMar>
              <w:top w:w="100" w:type="dxa"/>
              <w:left w:w="100" w:type="dxa"/>
              <w:bottom w:w="100" w:type="dxa"/>
              <w:right w:w="100" w:type="dxa"/>
            </w:tcMar>
          </w:tcPr>
          <w:p w14:paraId="53DAFBEE" w14:textId="77777777" w:rsidR="0079560F" w:rsidRDefault="00B40299">
            <w:pPr>
              <w:widowControl w:val="0"/>
              <w:spacing w:line="240" w:lineRule="auto"/>
              <w:rPr>
                <w:highlight w:val="white"/>
              </w:rPr>
            </w:pPr>
            <w:r>
              <w:rPr>
                <w:highlight w:val="white"/>
              </w:rPr>
              <w:t>-2.23%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FC297" w14:textId="77777777" w:rsidR="0079560F" w:rsidRDefault="00B40299">
            <w:pPr>
              <w:widowControl w:val="0"/>
              <w:spacing w:line="240" w:lineRule="auto"/>
              <w:rPr>
                <w:highlight w:val="white"/>
              </w:rPr>
            </w:pPr>
            <w:r>
              <w:rPr>
                <w:highlight w:val="white"/>
              </w:rPr>
              <w:t>-0.13%</w:t>
            </w:r>
          </w:p>
        </w:tc>
        <w:tc>
          <w:tcPr>
            <w:tcW w:w="1665" w:type="dxa"/>
            <w:shd w:val="clear" w:color="auto" w:fill="auto"/>
            <w:tcMar>
              <w:top w:w="100" w:type="dxa"/>
              <w:left w:w="100" w:type="dxa"/>
              <w:bottom w:w="100" w:type="dxa"/>
              <w:right w:w="100" w:type="dxa"/>
            </w:tcMar>
          </w:tcPr>
          <w:p w14:paraId="78D8C842" w14:textId="77777777" w:rsidR="0079560F" w:rsidRDefault="00B40299">
            <w:pPr>
              <w:widowControl w:val="0"/>
              <w:spacing w:line="240" w:lineRule="auto"/>
              <w:rPr>
                <w:highlight w:val="white"/>
              </w:rPr>
            </w:pPr>
            <w:r>
              <w:rPr>
                <w:highlight w:val="white"/>
              </w:rPr>
              <w:t>-1.48%</w:t>
            </w:r>
          </w:p>
        </w:tc>
        <w:tc>
          <w:tcPr>
            <w:tcW w:w="1665" w:type="dxa"/>
            <w:shd w:val="clear" w:color="auto" w:fill="auto"/>
            <w:tcMar>
              <w:top w:w="100" w:type="dxa"/>
              <w:left w:w="100" w:type="dxa"/>
              <w:bottom w:w="100" w:type="dxa"/>
              <w:right w:w="100" w:type="dxa"/>
            </w:tcMar>
          </w:tcPr>
          <w:p w14:paraId="2F878F07" w14:textId="77777777" w:rsidR="0079560F" w:rsidRDefault="00B40299">
            <w:pPr>
              <w:widowControl w:val="0"/>
              <w:spacing w:line="240" w:lineRule="auto"/>
              <w:rPr>
                <w:highlight w:val="white"/>
              </w:rPr>
            </w:pPr>
            <w:r>
              <w:rPr>
                <w:highlight w:val="white"/>
              </w:rPr>
              <w:t>-</w:t>
            </w:r>
          </w:p>
        </w:tc>
      </w:tr>
      <w:tr w:rsidR="0079560F" w14:paraId="676886AB" w14:textId="77777777">
        <w:tc>
          <w:tcPr>
            <w:tcW w:w="1665" w:type="dxa"/>
            <w:shd w:val="clear" w:color="auto" w:fill="auto"/>
            <w:tcMar>
              <w:top w:w="100" w:type="dxa"/>
              <w:left w:w="100" w:type="dxa"/>
              <w:bottom w:w="100" w:type="dxa"/>
              <w:right w:w="100" w:type="dxa"/>
            </w:tcMar>
          </w:tcPr>
          <w:p w14:paraId="14882AB6" w14:textId="77777777" w:rsidR="0079560F" w:rsidRDefault="00B40299">
            <w:pPr>
              <w:widowControl w:val="0"/>
              <w:spacing w:line="240" w:lineRule="auto"/>
              <w:rPr>
                <w:highlight w:val="white"/>
              </w:rPr>
            </w:pPr>
            <w:r>
              <w:rPr>
                <w:highlight w:val="white"/>
              </w:rPr>
              <w:t>31/10/2020</w:t>
            </w:r>
          </w:p>
        </w:tc>
        <w:tc>
          <w:tcPr>
            <w:tcW w:w="1665" w:type="dxa"/>
            <w:shd w:val="clear" w:color="auto" w:fill="auto"/>
            <w:tcMar>
              <w:top w:w="100" w:type="dxa"/>
              <w:left w:w="100" w:type="dxa"/>
              <w:bottom w:w="100" w:type="dxa"/>
              <w:right w:w="100" w:type="dxa"/>
            </w:tcMar>
          </w:tcPr>
          <w:p w14:paraId="46DB3A18" w14:textId="77777777" w:rsidR="0079560F" w:rsidRDefault="00B40299">
            <w:pPr>
              <w:widowControl w:val="0"/>
              <w:spacing w:line="240" w:lineRule="auto"/>
              <w:rPr>
                <w:highlight w:val="white"/>
              </w:rPr>
            </w:pPr>
            <w:r>
              <w:rPr>
                <w:highlight w:val="white"/>
              </w:rPr>
              <w:t>-0.79%</w:t>
            </w:r>
          </w:p>
        </w:tc>
        <w:tc>
          <w:tcPr>
            <w:tcW w:w="1665" w:type="dxa"/>
            <w:shd w:val="clear" w:color="auto" w:fill="auto"/>
            <w:tcMar>
              <w:top w:w="100" w:type="dxa"/>
              <w:left w:w="100" w:type="dxa"/>
              <w:bottom w:w="100" w:type="dxa"/>
              <w:right w:w="100" w:type="dxa"/>
            </w:tcMar>
          </w:tcPr>
          <w:p w14:paraId="63508A7A" w14:textId="77777777" w:rsidR="0079560F" w:rsidRDefault="00B40299">
            <w:pPr>
              <w:widowControl w:val="0"/>
              <w:spacing w:line="240" w:lineRule="auto"/>
              <w:rPr>
                <w:highlight w:val="white"/>
              </w:rPr>
            </w:pPr>
            <w:r>
              <w:rPr>
                <w:highlight w:val="white"/>
              </w:rPr>
              <w:t>-4.12%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D4968" w14:textId="77777777" w:rsidR="0079560F" w:rsidRDefault="00B40299">
            <w:pPr>
              <w:widowControl w:val="0"/>
              <w:spacing w:line="240" w:lineRule="auto"/>
              <w:rPr>
                <w:highlight w:val="white"/>
              </w:rPr>
            </w:pPr>
            <w:r>
              <w:rPr>
                <w:highlight w:val="white"/>
              </w:rPr>
              <w:t>-3.73%</w:t>
            </w:r>
          </w:p>
        </w:tc>
        <w:tc>
          <w:tcPr>
            <w:tcW w:w="1665" w:type="dxa"/>
            <w:shd w:val="clear" w:color="auto" w:fill="auto"/>
            <w:tcMar>
              <w:top w:w="100" w:type="dxa"/>
              <w:left w:w="100" w:type="dxa"/>
              <w:bottom w:w="100" w:type="dxa"/>
              <w:right w:w="100" w:type="dxa"/>
            </w:tcMar>
          </w:tcPr>
          <w:p w14:paraId="7B55E183" w14:textId="77777777" w:rsidR="0079560F" w:rsidRDefault="00B40299">
            <w:pPr>
              <w:widowControl w:val="0"/>
              <w:spacing w:line="240" w:lineRule="auto"/>
              <w:rPr>
                <w:highlight w:val="white"/>
              </w:rPr>
            </w:pPr>
            <w:r>
              <w:rPr>
                <w:highlight w:val="white"/>
              </w:rPr>
              <w:t>-3.15%</w:t>
            </w:r>
          </w:p>
        </w:tc>
        <w:tc>
          <w:tcPr>
            <w:tcW w:w="1665" w:type="dxa"/>
            <w:shd w:val="clear" w:color="auto" w:fill="auto"/>
            <w:tcMar>
              <w:top w:w="100" w:type="dxa"/>
              <w:left w:w="100" w:type="dxa"/>
              <w:bottom w:w="100" w:type="dxa"/>
              <w:right w:w="100" w:type="dxa"/>
            </w:tcMar>
          </w:tcPr>
          <w:p w14:paraId="28B94A6A" w14:textId="77777777" w:rsidR="0079560F" w:rsidRDefault="00B40299">
            <w:pPr>
              <w:widowControl w:val="0"/>
              <w:spacing w:line="240" w:lineRule="auto"/>
              <w:rPr>
                <w:highlight w:val="white"/>
              </w:rPr>
            </w:pPr>
            <w:r>
              <w:rPr>
                <w:highlight w:val="white"/>
              </w:rPr>
              <w:t>-2.24%</w:t>
            </w:r>
          </w:p>
        </w:tc>
      </w:tr>
    </w:tbl>
    <w:p w14:paraId="300336DF" w14:textId="77777777" w:rsidR="0079560F" w:rsidRDefault="0079560F"/>
    <w:p w14:paraId="065CE04F" w14:textId="77777777" w:rsidR="0079560F" w:rsidRDefault="00B40299">
      <w:r>
        <w:t>Table 2: Monthly Volatility</w:t>
      </w:r>
    </w:p>
    <w:p w14:paraId="3415DB44" w14:textId="77777777" w:rsidR="0079560F" w:rsidRDefault="0079560F">
      <w:pPr>
        <w:rPr>
          <w:highlight w:val="white"/>
        </w:rPr>
      </w:pPr>
    </w:p>
    <w:tbl>
      <w:tblPr>
        <w:tblStyle w:val="a3"/>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665"/>
        <w:gridCol w:w="1665"/>
        <w:gridCol w:w="1665"/>
        <w:gridCol w:w="1665"/>
        <w:gridCol w:w="1665"/>
      </w:tblGrid>
      <w:tr w:rsidR="0079560F" w14:paraId="19DD20B3" w14:textId="77777777">
        <w:trPr>
          <w:trHeight w:val="730"/>
        </w:trPr>
        <w:tc>
          <w:tcPr>
            <w:tcW w:w="1665" w:type="dxa"/>
            <w:shd w:val="clear" w:color="auto" w:fill="CFE2F3"/>
            <w:tcMar>
              <w:top w:w="100" w:type="dxa"/>
              <w:left w:w="100" w:type="dxa"/>
              <w:bottom w:w="100" w:type="dxa"/>
              <w:right w:w="100" w:type="dxa"/>
            </w:tcMar>
          </w:tcPr>
          <w:p w14:paraId="45898BC1" w14:textId="77777777" w:rsidR="0079560F" w:rsidRDefault="00B40299">
            <w:pPr>
              <w:widowControl w:val="0"/>
              <w:spacing w:line="240" w:lineRule="auto"/>
              <w:rPr>
                <w:b/>
              </w:rPr>
            </w:pPr>
            <w:r>
              <w:rPr>
                <w:b/>
              </w:rPr>
              <w:t>Date</w:t>
            </w:r>
          </w:p>
          <w:p w14:paraId="48C352F7" w14:textId="77777777" w:rsidR="0079560F" w:rsidRDefault="0079560F">
            <w:pPr>
              <w:widowControl w:val="0"/>
              <w:spacing w:line="240" w:lineRule="auto"/>
              <w:rPr>
                <w:b/>
              </w:rPr>
            </w:pPr>
          </w:p>
        </w:tc>
        <w:tc>
          <w:tcPr>
            <w:tcW w:w="1665" w:type="dxa"/>
            <w:shd w:val="clear" w:color="auto" w:fill="CFE2F3"/>
            <w:tcMar>
              <w:top w:w="100" w:type="dxa"/>
              <w:left w:w="100" w:type="dxa"/>
              <w:bottom w:w="100" w:type="dxa"/>
              <w:right w:w="100" w:type="dxa"/>
            </w:tcMar>
          </w:tcPr>
          <w:p w14:paraId="08529E22" w14:textId="77777777" w:rsidR="0079560F" w:rsidRDefault="00B40299">
            <w:pPr>
              <w:widowControl w:val="0"/>
              <w:spacing w:line="240" w:lineRule="auto"/>
              <w:rPr>
                <w:b/>
              </w:rPr>
            </w:pPr>
            <w:r>
              <w:rPr>
                <w:b/>
              </w:rPr>
              <w:t>ETIHX (best)</w:t>
            </w:r>
          </w:p>
        </w:tc>
        <w:tc>
          <w:tcPr>
            <w:tcW w:w="1665" w:type="dxa"/>
            <w:shd w:val="clear" w:color="auto" w:fill="CFE2F3"/>
            <w:tcMar>
              <w:top w:w="100" w:type="dxa"/>
              <w:left w:w="100" w:type="dxa"/>
              <w:bottom w:w="100" w:type="dxa"/>
              <w:right w:w="100" w:type="dxa"/>
            </w:tcMar>
          </w:tcPr>
          <w:p w14:paraId="64892E01" w14:textId="77777777" w:rsidR="0079560F" w:rsidRDefault="00B40299">
            <w:pPr>
              <w:widowControl w:val="0"/>
              <w:spacing w:line="240" w:lineRule="auto"/>
              <w:rPr>
                <w:b/>
              </w:rPr>
            </w:pPr>
            <w:r>
              <w:rPr>
                <w:b/>
              </w:rPr>
              <w:t>RYCFX (worst)</w:t>
            </w:r>
          </w:p>
        </w:tc>
        <w:tc>
          <w:tcPr>
            <w:tcW w:w="1665" w:type="dxa"/>
            <w:shd w:val="clear" w:color="auto" w:fill="CFE2F3"/>
            <w:tcMar>
              <w:top w:w="100" w:type="dxa"/>
              <w:left w:w="100" w:type="dxa"/>
              <w:bottom w:w="100" w:type="dxa"/>
              <w:right w:w="100" w:type="dxa"/>
            </w:tcMar>
          </w:tcPr>
          <w:p w14:paraId="7DB6CA48" w14:textId="77777777" w:rsidR="0079560F" w:rsidRDefault="00B40299">
            <w:pPr>
              <w:widowControl w:val="0"/>
              <w:spacing w:line="240" w:lineRule="auto"/>
              <w:rPr>
                <w:b/>
              </w:rPr>
            </w:pPr>
            <w:r>
              <w:rPr>
                <w:b/>
              </w:rPr>
              <w:t>Index</w:t>
            </w:r>
          </w:p>
        </w:tc>
        <w:tc>
          <w:tcPr>
            <w:tcW w:w="1665" w:type="dxa"/>
            <w:shd w:val="clear" w:color="auto" w:fill="CFE2F3"/>
            <w:tcMar>
              <w:top w:w="100" w:type="dxa"/>
              <w:left w:w="100" w:type="dxa"/>
              <w:bottom w:w="100" w:type="dxa"/>
              <w:right w:w="100" w:type="dxa"/>
            </w:tcMar>
          </w:tcPr>
          <w:p w14:paraId="687B17E7" w14:textId="77777777" w:rsidR="0079560F" w:rsidRDefault="00B40299">
            <w:pPr>
              <w:widowControl w:val="0"/>
              <w:spacing w:line="240" w:lineRule="auto"/>
              <w:rPr>
                <w:b/>
              </w:rPr>
            </w:pPr>
            <w:proofErr w:type="spellStart"/>
            <w:r>
              <w:rPr>
                <w:b/>
              </w:rPr>
              <w:t>Optimised</w:t>
            </w:r>
            <w:proofErr w:type="spellEnd"/>
          </w:p>
        </w:tc>
        <w:tc>
          <w:tcPr>
            <w:tcW w:w="1665" w:type="dxa"/>
            <w:shd w:val="clear" w:color="auto" w:fill="CFE2F3"/>
            <w:tcMar>
              <w:top w:w="100" w:type="dxa"/>
              <w:left w:w="100" w:type="dxa"/>
              <w:bottom w:w="100" w:type="dxa"/>
              <w:right w:w="100" w:type="dxa"/>
            </w:tcMar>
          </w:tcPr>
          <w:p w14:paraId="5550DA8C" w14:textId="77777777" w:rsidR="0079560F" w:rsidRDefault="00B40299">
            <w:pPr>
              <w:widowControl w:val="0"/>
              <w:spacing w:line="240" w:lineRule="auto"/>
              <w:rPr>
                <w:b/>
              </w:rPr>
            </w:pPr>
            <w:r>
              <w:rPr>
                <w:b/>
              </w:rPr>
              <w:t>Adjusted</w:t>
            </w:r>
          </w:p>
        </w:tc>
      </w:tr>
      <w:tr w:rsidR="0079560F" w14:paraId="70E25B67" w14:textId="77777777">
        <w:tc>
          <w:tcPr>
            <w:tcW w:w="1665" w:type="dxa"/>
            <w:shd w:val="clear" w:color="auto" w:fill="auto"/>
            <w:tcMar>
              <w:top w:w="100" w:type="dxa"/>
              <w:left w:w="100" w:type="dxa"/>
              <w:bottom w:w="100" w:type="dxa"/>
              <w:right w:w="100" w:type="dxa"/>
            </w:tcMar>
          </w:tcPr>
          <w:p w14:paraId="533C45D2" w14:textId="77777777" w:rsidR="0079560F" w:rsidRDefault="00B40299">
            <w:pPr>
              <w:widowControl w:val="0"/>
              <w:spacing w:line="240" w:lineRule="auto"/>
              <w:rPr>
                <w:highlight w:val="white"/>
              </w:rPr>
            </w:pPr>
            <w:r>
              <w:rPr>
                <w:highlight w:val="white"/>
              </w:rPr>
              <w:t>31/1/2020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F7E7A" w14:textId="77777777" w:rsidR="0079560F" w:rsidRDefault="00B40299">
            <w:pPr>
              <w:widowControl w:val="0"/>
              <w:spacing w:line="240" w:lineRule="auto"/>
              <w:rPr>
                <w:highlight w:val="white"/>
              </w:rPr>
            </w:pPr>
            <w:r>
              <w:rPr>
                <w:highlight w:val="white"/>
              </w:rPr>
              <w:t>21.92%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3EB74" w14:textId="77777777" w:rsidR="0079560F" w:rsidRDefault="00B40299">
            <w:pPr>
              <w:widowControl w:val="0"/>
              <w:spacing w:line="240" w:lineRule="auto"/>
              <w:rPr>
                <w:highlight w:val="white"/>
              </w:rPr>
            </w:pPr>
            <w:r>
              <w:rPr>
                <w:highlight w:val="white"/>
              </w:rPr>
              <w:t>16.51%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CB8E1" w14:textId="77777777" w:rsidR="0079560F" w:rsidRDefault="00B40299">
            <w:pPr>
              <w:widowControl w:val="0"/>
              <w:spacing w:line="240" w:lineRule="auto"/>
              <w:rPr>
                <w:highlight w:val="white"/>
              </w:rPr>
            </w:pPr>
            <w:r>
              <w:rPr>
                <w:highlight w:val="white"/>
              </w:rPr>
              <w:t>15.77%</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D4D41" w14:textId="77777777" w:rsidR="0079560F" w:rsidRDefault="00B40299">
            <w:pPr>
              <w:widowControl w:val="0"/>
              <w:spacing w:line="240" w:lineRule="auto"/>
              <w:rPr>
                <w:highlight w:val="white"/>
              </w:rPr>
            </w:pPr>
            <w:r>
              <w:rPr>
                <w:highlight w:val="white"/>
              </w:rPr>
              <w:t>23.75%</w:t>
            </w:r>
          </w:p>
        </w:tc>
        <w:tc>
          <w:tcPr>
            <w:tcW w:w="1665" w:type="dxa"/>
            <w:shd w:val="clear" w:color="auto" w:fill="auto"/>
            <w:tcMar>
              <w:top w:w="100" w:type="dxa"/>
              <w:left w:w="100" w:type="dxa"/>
              <w:bottom w:w="100" w:type="dxa"/>
              <w:right w:w="100" w:type="dxa"/>
            </w:tcMar>
          </w:tcPr>
          <w:p w14:paraId="3BF99553" w14:textId="77777777" w:rsidR="0079560F" w:rsidRDefault="00B40299">
            <w:pPr>
              <w:widowControl w:val="0"/>
              <w:spacing w:line="240" w:lineRule="auto"/>
              <w:rPr>
                <w:highlight w:val="white"/>
              </w:rPr>
            </w:pPr>
            <w:r>
              <w:rPr>
                <w:highlight w:val="white"/>
              </w:rPr>
              <w:t>-</w:t>
            </w:r>
          </w:p>
        </w:tc>
      </w:tr>
      <w:tr w:rsidR="0079560F" w14:paraId="3C975C0D" w14:textId="77777777">
        <w:tc>
          <w:tcPr>
            <w:tcW w:w="1665" w:type="dxa"/>
            <w:shd w:val="clear" w:color="auto" w:fill="auto"/>
            <w:tcMar>
              <w:top w:w="100" w:type="dxa"/>
              <w:left w:w="100" w:type="dxa"/>
              <w:bottom w:w="100" w:type="dxa"/>
              <w:right w:w="100" w:type="dxa"/>
            </w:tcMar>
          </w:tcPr>
          <w:p w14:paraId="36D97ED9" w14:textId="77777777" w:rsidR="0079560F" w:rsidRDefault="00B40299">
            <w:pPr>
              <w:widowControl w:val="0"/>
              <w:spacing w:line="240" w:lineRule="auto"/>
              <w:rPr>
                <w:highlight w:val="white"/>
              </w:rPr>
            </w:pPr>
            <w:r>
              <w:rPr>
                <w:highlight w:val="white"/>
              </w:rPr>
              <w:t>29/2/2020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40B32" w14:textId="77777777" w:rsidR="0079560F" w:rsidRDefault="00B40299">
            <w:pPr>
              <w:widowControl w:val="0"/>
              <w:spacing w:line="240" w:lineRule="auto"/>
              <w:rPr>
                <w:highlight w:val="white"/>
              </w:rPr>
            </w:pPr>
            <w:r>
              <w:rPr>
                <w:highlight w:val="white"/>
              </w:rPr>
              <w:t>34.36%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E5820" w14:textId="77777777" w:rsidR="0079560F" w:rsidRDefault="00B40299">
            <w:pPr>
              <w:widowControl w:val="0"/>
              <w:spacing w:line="240" w:lineRule="auto"/>
              <w:rPr>
                <w:highlight w:val="white"/>
              </w:rPr>
            </w:pPr>
            <w:r>
              <w:rPr>
                <w:highlight w:val="white"/>
              </w:rPr>
              <w:t>25.62%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7B119" w14:textId="77777777" w:rsidR="0079560F" w:rsidRDefault="00B40299">
            <w:pPr>
              <w:widowControl w:val="0"/>
              <w:spacing w:line="240" w:lineRule="auto"/>
              <w:rPr>
                <w:highlight w:val="white"/>
              </w:rPr>
            </w:pPr>
            <w:r>
              <w:rPr>
                <w:highlight w:val="white"/>
              </w:rPr>
              <w:t>25.86%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1CE06" w14:textId="77777777" w:rsidR="0079560F" w:rsidRDefault="00B40299">
            <w:pPr>
              <w:widowControl w:val="0"/>
              <w:spacing w:line="240" w:lineRule="auto"/>
              <w:rPr>
                <w:highlight w:val="white"/>
              </w:rPr>
            </w:pPr>
            <w:r>
              <w:rPr>
                <w:highlight w:val="white"/>
              </w:rPr>
              <w:t>31.21%</w:t>
            </w:r>
          </w:p>
        </w:tc>
        <w:tc>
          <w:tcPr>
            <w:tcW w:w="1665" w:type="dxa"/>
            <w:shd w:val="clear" w:color="auto" w:fill="auto"/>
            <w:tcMar>
              <w:top w:w="100" w:type="dxa"/>
              <w:left w:w="100" w:type="dxa"/>
              <w:bottom w:w="100" w:type="dxa"/>
              <w:right w:w="100" w:type="dxa"/>
            </w:tcMar>
          </w:tcPr>
          <w:p w14:paraId="333969AA" w14:textId="77777777" w:rsidR="0079560F" w:rsidRDefault="00B40299">
            <w:pPr>
              <w:widowControl w:val="0"/>
              <w:spacing w:line="240" w:lineRule="auto"/>
              <w:rPr>
                <w:highlight w:val="white"/>
              </w:rPr>
            </w:pPr>
            <w:r>
              <w:rPr>
                <w:highlight w:val="white"/>
              </w:rPr>
              <w:t>-</w:t>
            </w:r>
          </w:p>
        </w:tc>
      </w:tr>
      <w:tr w:rsidR="0079560F" w14:paraId="27BFED42" w14:textId="77777777">
        <w:tc>
          <w:tcPr>
            <w:tcW w:w="1665" w:type="dxa"/>
            <w:shd w:val="clear" w:color="auto" w:fill="auto"/>
            <w:tcMar>
              <w:top w:w="100" w:type="dxa"/>
              <w:left w:w="100" w:type="dxa"/>
              <w:bottom w:w="100" w:type="dxa"/>
              <w:right w:w="100" w:type="dxa"/>
            </w:tcMar>
          </w:tcPr>
          <w:p w14:paraId="15B32888" w14:textId="77777777" w:rsidR="0079560F" w:rsidRDefault="00B40299">
            <w:pPr>
              <w:widowControl w:val="0"/>
              <w:spacing w:line="240" w:lineRule="auto"/>
              <w:rPr>
                <w:highlight w:val="white"/>
              </w:rPr>
            </w:pPr>
            <w:r>
              <w:rPr>
                <w:highlight w:val="white"/>
              </w:rPr>
              <w:t>31/3/2020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699AA" w14:textId="77777777" w:rsidR="0079560F" w:rsidRDefault="00B40299">
            <w:pPr>
              <w:widowControl w:val="0"/>
              <w:spacing w:line="240" w:lineRule="auto"/>
              <w:rPr>
                <w:highlight w:val="white"/>
              </w:rPr>
            </w:pPr>
            <w:r>
              <w:rPr>
                <w:highlight w:val="white"/>
              </w:rPr>
              <w:t>98.60%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1C157" w14:textId="77777777" w:rsidR="0079560F" w:rsidRDefault="00B40299">
            <w:pPr>
              <w:widowControl w:val="0"/>
              <w:spacing w:line="240" w:lineRule="auto"/>
              <w:rPr>
                <w:highlight w:val="white"/>
              </w:rPr>
            </w:pPr>
            <w:r>
              <w:rPr>
                <w:highlight w:val="white"/>
              </w:rPr>
              <w:t>74.46%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2CB05" w14:textId="77777777" w:rsidR="0079560F" w:rsidRDefault="00B40299">
            <w:pPr>
              <w:widowControl w:val="0"/>
              <w:spacing w:line="240" w:lineRule="auto"/>
              <w:rPr>
                <w:highlight w:val="white"/>
              </w:rPr>
            </w:pPr>
            <w:r>
              <w:rPr>
                <w:highlight w:val="white"/>
              </w:rPr>
              <w:t>75.90%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3634C" w14:textId="77777777" w:rsidR="0079560F" w:rsidRDefault="00B40299">
            <w:pPr>
              <w:widowControl w:val="0"/>
              <w:spacing w:line="240" w:lineRule="auto"/>
              <w:rPr>
                <w:highlight w:val="white"/>
              </w:rPr>
            </w:pPr>
            <w:r>
              <w:rPr>
                <w:highlight w:val="white"/>
              </w:rPr>
              <w:t>107.49%</w:t>
            </w:r>
          </w:p>
        </w:tc>
        <w:tc>
          <w:tcPr>
            <w:tcW w:w="1665" w:type="dxa"/>
            <w:shd w:val="clear" w:color="auto" w:fill="auto"/>
            <w:tcMar>
              <w:top w:w="100" w:type="dxa"/>
              <w:left w:w="100" w:type="dxa"/>
              <w:bottom w:w="100" w:type="dxa"/>
              <w:right w:w="100" w:type="dxa"/>
            </w:tcMar>
          </w:tcPr>
          <w:p w14:paraId="0E352458" w14:textId="77777777" w:rsidR="0079560F" w:rsidRDefault="00B40299">
            <w:pPr>
              <w:widowControl w:val="0"/>
              <w:spacing w:line="240" w:lineRule="auto"/>
              <w:rPr>
                <w:highlight w:val="white"/>
              </w:rPr>
            </w:pPr>
            <w:r>
              <w:rPr>
                <w:highlight w:val="white"/>
              </w:rPr>
              <w:t>-</w:t>
            </w:r>
          </w:p>
        </w:tc>
      </w:tr>
      <w:tr w:rsidR="0079560F" w14:paraId="74B7CA36" w14:textId="77777777">
        <w:tc>
          <w:tcPr>
            <w:tcW w:w="1665" w:type="dxa"/>
            <w:shd w:val="clear" w:color="auto" w:fill="auto"/>
            <w:tcMar>
              <w:top w:w="100" w:type="dxa"/>
              <w:left w:w="100" w:type="dxa"/>
              <w:bottom w:w="100" w:type="dxa"/>
              <w:right w:w="100" w:type="dxa"/>
            </w:tcMar>
          </w:tcPr>
          <w:p w14:paraId="08FDB3AE" w14:textId="77777777" w:rsidR="0079560F" w:rsidRDefault="00B40299">
            <w:pPr>
              <w:widowControl w:val="0"/>
              <w:spacing w:line="240" w:lineRule="auto"/>
              <w:rPr>
                <w:highlight w:val="white"/>
              </w:rPr>
            </w:pPr>
            <w:r>
              <w:rPr>
                <w:highlight w:val="white"/>
              </w:rPr>
              <w:t>30/4/2020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2BE41" w14:textId="77777777" w:rsidR="0079560F" w:rsidRDefault="00B40299">
            <w:pPr>
              <w:widowControl w:val="0"/>
              <w:spacing w:line="240" w:lineRule="auto"/>
              <w:rPr>
                <w:highlight w:val="white"/>
              </w:rPr>
            </w:pPr>
            <w:r>
              <w:rPr>
                <w:highlight w:val="white"/>
              </w:rPr>
              <w:t>48.69%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98541" w14:textId="77777777" w:rsidR="0079560F" w:rsidRDefault="00B40299">
            <w:pPr>
              <w:widowControl w:val="0"/>
              <w:spacing w:line="240" w:lineRule="auto"/>
              <w:rPr>
                <w:highlight w:val="white"/>
              </w:rPr>
            </w:pPr>
            <w:r>
              <w:rPr>
                <w:highlight w:val="white"/>
              </w:rPr>
              <w:t>37.48%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9C696" w14:textId="77777777" w:rsidR="0079560F" w:rsidRDefault="00B40299">
            <w:pPr>
              <w:widowControl w:val="0"/>
              <w:spacing w:line="240" w:lineRule="auto"/>
              <w:rPr>
                <w:highlight w:val="white"/>
              </w:rPr>
            </w:pPr>
            <w:r>
              <w:rPr>
                <w:highlight w:val="white"/>
              </w:rPr>
              <w:t>40.14%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43644" w14:textId="77777777" w:rsidR="0079560F" w:rsidRDefault="00B40299">
            <w:pPr>
              <w:widowControl w:val="0"/>
              <w:spacing w:line="240" w:lineRule="auto"/>
              <w:rPr>
                <w:highlight w:val="white"/>
              </w:rPr>
            </w:pPr>
            <w:r>
              <w:rPr>
                <w:highlight w:val="white"/>
              </w:rPr>
              <w:t>48.57%</w:t>
            </w:r>
          </w:p>
        </w:tc>
        <w:tc>
          <w:tcPr>
            <w:tcW w:w="1665" w:type="dxa"/>
            <w:shd w:val="clear" w:color="auto" w:fill="auto"/>
            <w:tcMar>
              <w:top w:w="100" w:type="dxa"/>
              <w:left w:w="100" w:type="dxa"/>
              <w:bottom w:w="100" w:type="dxa"/>
              <w:right w:w="100" w:type="dxa"/>
            </w:tcMar>
          </w:tcPr>
          <w:p w14:paraId="09D2BD60" w14:textId="77777777" w:rsidR="0079560F" w:rsidRDefault="00B40299">
            <w:pPr>
              <w:widowControl w:val="0"/>
              <w:spacing w:line="240" w:lineRule="auto"/>
              <w:rPr>
                <w:highlight w:val="white"/>
              </w:rPr>
            </w:pPr>
            <w:r>
              <w:rPr>
                <w:highlight w:val="white"/>
              </w:rPr>
              <w:t>-</w:t>
            </w:r>
          </w:p>
        </w:tc>
      </w:tr>
      <w:tr w:rsidR="0079560F" w14:paraId="729D446F" w14:textId="77777777">
        <w:tc>
          <w:tcPr>
            <w:tcW w:w="1665" w:type="dxa"/>
            <w:shd w:val="clear" w:color="auto" w:fill="auto"/>
            <w:tcMar>
              <w:top w:w="100" w:type="dxa"/>
              <w:left w:w="100" w:type="dxa"/>
              <w:bottom w:w="100" w:type="dxa"/>
              <w:right w:w="100" w:type="dxa"/>
            </w:tcMar>
          </w:tcPr>
          <w:p w14:paraId="49D57E9D" w14:textId="77777777" w:rsidR="0079560F" w:rsidRDefault="00B40299">
            <w:pPr>
              <w:widowControl w:val="0"/>
              <w:spacing w:line="240" w:lineRule="auto"/>
              <w:rPr>
                <w:highlight w:val="white"/>
              </w:rPr>
            </w:pPr>
            <w:r>
              <w:rPr>
                <w:highlight w:val="white"/>
              </w:rPr>
              <w:t>31/5/2020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736C3" w14:textId="77777777" w:rsidR="0079560F" w:rsidRDefault="00B40299">
            <w:pPr>
              <w:widowControl w:val="0"/>
              <w:spacing w:line="240" w:lineRule="auto"/>
              <w:rPr>
                <w:highlight w:val="white"/>
              </w:rPr>
            </w:pPr>
            <w:r>
              <w:rPr>
                <w:highlight w:val="white"/>
              </w:rPr>
              <w:t>37.68%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C95A0" w14:textId="77777777" w:rsidR="0079560F" w:rsidRDefault="00B40299">
            <w:pPr>
              <w:widowControl w:val="0"/>
              <w:spacing w:line="240" w:lineRule="auto"/>
              <w:rPr>
                <w:highlight w:val="white"/>
              </w:rPr>
            </w:pPr>
            <w:r>
              <w:rPr>
                <w:highlight w:val="white"/>
              </w:rPr>
              <w:t>23.39%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52393" w14:textId="77777777" w:rsidR="0079560F" w:rsidRDefault="00B40299">
            <w:pPr>
              <w:widowControl w:val="0"/>
              <w:spacing w:line="240" w:lineRule="auto"/>
              <w:rPr>
                <w:highlight w:val="white"/>
              </w:rPr>
            </w:pPr>
            <w:r>
              <w:rPr>
                <w:highlight w:val="white"/>
              </w:rPr>
              <w:t>28.26%</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26909" w14:textId="77777777" w:rsidR="0079560F" w:rsidRDefault="00B40299">
            <w:pPr>
              <w:widowControl w:val="0"/>
              <w:spacing w:line="240" w:lineRule="auto"/>
              <w:rPr>
                <w:highlight w:val="white"/>
              </w:rPr>
            </w:pPr>
            <w:r>
              <w:rPr>
                <w:highlight w:val="white"/>
              </w:rPr>
              <w:t>34.85%</w:t>
            </w:r>
          </w:p>
        </w:tc>
        <w:tc>
          <w:tcPr>
            <w:tcW w:w="1665" w:type="dxa"/>
            <w:shd w:val="clear" w:color="auto" w:fill="auto"/>
            <w:tcMar>
              <w:top w:w="100" w:type="dxa"/>
              <w:left w:w="100" w:type="dxa"/>
              <w:bottom w:w="100" w:type="dxa"/>
              <w:right w:w="100" w:type="dxa"/>
            </w:tcMar>
          </w:tcPr>
          <w:p w14:paraId="3C6465AC" w14:textId="77777777" w:rsidR="0079560F" w:rsidRDefault="00B40299">
            <w:pPr>
              <w:widowControl w:val="0"/>
              <w:spacing w:line="240" w:lineRule="auto"/>
              <w:rPr>
                <w:highlight w:val="white"/>
              </w:rPr>
            </w:pPr>
            <w:r>
              <w:rPr>
                <w:highlight w:val="white"/>
              </w:rPr>
              <w:t>-</w:t>
            </w:r>
          </w:p>
        </w:tc>
      </w:tr>
      <w:tr w:rsidR="0079560F" w14:paraId="63B4E441" w14:textId="77777777">
        <w:tc>
          <w:tcPr>
            <w:tcW w:w="1665" w:type="dxa"/>
            <w:shd w:val="clear" w:color="auto" w:fill="auto"/>
            <w:tcMar>
              <w:top w:w="100" w:type="dxa"/>
              <w:left w:w="100" w:type="dxa"/>
              <w:bottom w:w="100" w:type="dxa"/>
              <w:right w:w="100" w:type="dxa"/>
            </w:tcMar>
          </w:tcPr>
          <w:p w14:paraId="16574512" w14:textId="77777777" w:rsidR="0079560F" w:rsidRDefault="00B40299">
            <w:pPr>
              <w:widowControl w:val="0"/>
              <w:spacing w:line="240" w:lineRule="auto"/>
              <w:rPr>
                <w:highlight w:val="white"/>
              </w:rPr>
            </w:pPr>
            <w:r>
              <w:rPr>
                <w:highlight w:val="white"/>
              </w:rPr>
              <w:t>30/6/2020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018900" w14:textId="77777777" w:rsidR="0079560F" w:rsidRDefault="00B40299">
            <w:pPr>
              <w:widowControl w:val="0"/>
              <w:spacing w:line="240" w:lineRule="auto"/>
              <w:rPr>
                <w:highlight w:val="white"/>
              </w:rPr>
            </w:pPr>
            <w:r>
              <w:rPr>
                <w:highlight w:val="white"/>
              </w:rPr>
              <w:t>30.18%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18717" w14:textId="77777777" w:rsidR="0079560F" w:rsidRDefault="00B40299">
            <w:pPr>
              <w:widowControl w:val="0"/>
              <w:spacing w:line="240" w:lineRule="auto"/>
              <w:rPr>
                <w:highlight w:val="white"/>
              </w:rPr>
            </w:pPr>
            <w:r>
              <w:rPr>
                <w:highlight w:val="white"/>
              </w:rPr>
              <w:t>24.73%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838C7" w14:textId="77777777" w:rsidR="0079560F" w:rsidRDefault="00B40299">
            <w:pPr>
              <w:widowControl w:val="0"/>
              <w:spacing w:line="240" w:lineRule="auto"/>
              <w:rPr>
                <w:highlight w:val="white"/>
              </w:rPr>
            </w:pPr>
            <w:r>
              <w:rPr>
                <w:highlight w:val="white"/>
              </w:rPr>
              <w:t>25.45%</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6DF58" w14:textId="77777777" w:rsidR="0079560F" w:rsidRDefault="00B40299">
            <w:pPr>
              <w:widowControl w:val="0"/>
              <w:spacing w:line="240" w:lineRule="auto"/>
              <w:rPr>
                <w:highlight w:val="white"/>
              </w:rPr>
            </w:pPr>
            <w:r>
              <w:rPr>
                <w:highlight w:val="white"/>
              </w:rPr>
              <w:t>37.80%</w:t>
            </w:r>
          </w:p>
        </w:tc>
        <w:tc>
          <w:tcPr>
            <w:tcW w:w="1665" w:type="dxa"/>
            <w:shd w:val="clear" w:color="auto" w:fill="auto"/>
            <w:tcMar>
              <w:top w:w="100" w:type="dxa"/>
              <w:left w:w="100" w:type="dxa"/>
              <w:bottom w:w="100" w:type="dxa"/>
              <w:right w:w="100" w:type="dxa"/>
            </w:tcMar>
          </w:tcPr>
          <w:p w14:paraId="6EB2FD86" w14:textId="77777777" w:rsidR="0079560F" w:rsidRDefault="00B40299">
            <w:pPr>
              <w:widowControl w:val="0"/>
              <w:spacing w:line="240" w:lineRule="auto"/>
              <w:rPr>
                <w:highlight w:val="white"/>
              </w:rPr>
            </w:pPr>
            <w:r>
              <w:rPr>
                <w:highlight w:val="white"/>
              </w:rPr>
              <w:t>-</w:t>
            </w:r>
          </w:p>
        </w:tc>
      </w:tr>
      <w:tr w:rsidR="0079560F" w14:paraId="39457B66" w14:textId="77777777">
        <w:tc>
          <w:tcPr>
            <w:tcW w:w="1665" w:type="dxa"/>
            <w:shd w:val="clear" w:color="auto" w:fill="auto"/>
            <w:tcMar>
              <w:top w:w="100" w:type="dxa"/>
              <w:left w:w="100" w:type="dxa"/>
              <w:bottom w:w="100" w:type="dxa"/>
              <w:right w:w="100" w:type="dxa"/>
            </w:tcMar>
          </w:tcPr>
          <w:p w14:paraId="2DA58514" w14:textId="77777777" w:rsidR="0079560F" w:rsidRDefault="00B40299">
            <w:pPr>
              <w:widowControl w:val="0"/>
              <w:spacing w:line="240" w:lineRule="auto"/>
              <w:rPr>
                <w:highlight w:val="white"/>
              </w:rPr>
            </w:pPr>
            <w:r>
              <w:rPr>
                <w:highlight w:val="white"/>
              </w:rPr>
              <w:t>31/7/2020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F2695" w14:textId="77777777" w:rsidR="0079560F" w:rsidRDefault="00B40299">
            <w:pPr>
              <w:widowControl w:val="0"/>
              <w:spacing w:line="240" w:lineRule="auto"/>
              <w:rPr>
                <w:highlight w:val="white"/>
              </w:rPr>
            </w:pPr>
            <w:r>
              <w:rPr>
                <w:highlight w:val="white"/>
              </w:rPr>
              <w:t>28.09%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80590" w14:textId="77777777" w:rsidR="0079560F" w:rsidRDefault="00B40299">
            <w:pPr>
              <w:widowControl w:val="0"/>
              <w:spacing w:line="240" w:lineRule="auto"/>
              <w:rPr>
                <w:highlight w:val="white"/>
              </w:rPr>
            </w:pPr>
            <w:r>
              <w:rPr>
                <w:highlight w:val="white"/>
              </w:rPr>
              <w:t>19.82%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A1A36" w14:textId="77777777" w:rsidR="0079560F" w:rsidRDefault="00B40299">
            <w:pPr>
              <w:widowControl w:val="0"/>
              <w:spacing w:line="240" w:lineRule="auto"/>
              <w:rPr>
                <w:highlight w:val="white"/>
              </w:rPr>
            </w:pPr>
            <w:r>
              <w:rPr>
                <w:highlight w:val="white"/>
              </w:rPr>
              <w:t>22.93%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C6C99" w14:textId="77777777" w:rsidR="0079560F" w:rsidRDefault="00B40299">
            <w:pPr>
              <w:widowControl w:val="0"/>
              <w:spacing w:line="240" w:lineRule="auto"/>
              <w:rPr>
                <w:highlight w:val="white"/>
              </w:rPr>
            </w:pPr>
            <w:r>
              <w:rPr>
                <w:highlight w:val="white"/>
              </w:rPr>
              <w:t>28.19%</w:t>
            </w:r>
          </w:p>
        </w:tc>
        <w:tc>
          <w:tcPr>
            <w:tcW w:w="1665" w:type="dxa"/>
            <w:shd w:val="clear" w:color="auto" w:fill="auto"/>
            <w:tcMar>
              <w:top w:w="100" w:type="dxa"/>
              <w:left w:w="100" w:type="dxa"/>
              <w:bottom w:w="100" w:type="dxa"/>
              <w:right w:w="100" w:type="dxa"/>
            </w:tcMar>
          </w:tcPr>
          <w:p w14:paraId="4FDF0166" w14:textId="77777777" w:rsidR="0079560F" w:rsidRDefault="00B40299">
            <w:pPr>
              <w:widowControl w:val="0"/>
              <w:spacing w:line="240" w:lineRule="auto"/>
              <w:rPr>
                <w:highlight w:val="white"/>
              </w:rPr>
            </w:pPr>
            <w:r>
              <w:rPr>
                <w:highlight w:val="white"/>
              </w:rPr>
              <w:t>-</w:t>
            </w:r>
          </w:p>
        </w:tc>
      </w:tr>
      <w:tr w:rsidR="0079560F" w14:paraId="06EECECF" w14:textId="77777777">
        <w:tc>
          <w:tcPr>
            <w:tcW w:w="1665" w:type="dxa"/>
            <w:shd w:val="clear" w:color="auto" w:fill="auto"/>
            <w:tcMar>
              <w:top w:w="100" w:type="dxa"/>
              <w:left w:w="100" w:type="dxa"/>
              <w:bottom w:w="100" w:type="dxa"/>
              <w:right w:w="100" w:type="dxa"/>
            </w:tcMar>
          </w:tcPr>
          <w:p w14:paraId="399BCDA0" w14:textId="77777777" w:rsidR="0079560F" w:rsidRDefault="00B40299">
            <w:pPr>
              <w:widowControl w:val="0"/>
              <w:spacing w:line="240" w:lineRule="auto"/>
              <w:rPr>
                <w:highlight w:val="white"/>
              </w:rPr>
            </w:pPr>
            <w:r>
              <w:rPr>
                <w:highlight w:val="white"/>
              </w:rPr>
              <w:t>31/8/2020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C373D" w14:textId="77777777" w:rsidR="0079560F" w:rsidRDefault="00B40299">
            <w:pPr>
              <w:widowControl w:val="0"/>
              <w:spacing w:line="240" w:lineRule="auto"/>
              <w:rPr>
                <w:highlight w:val="white"/>
              </w:rPr>
            </w:pPr>
            <w:r>
              <w:rPr>
                <w:highlight w:val="white"/>
              </w:rPr>
              <w:t>38.31%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FD6E9" w14:textId="77777777" w:rsidR="0079560F" w:rsidRDefault="00B40299">
            <w:pPr>
              <w:widowControl w:val="0"/>
              <w:spacing w:line="240" w:lineRule="auto"/>
              <w:rPr>
                <w:highlight w:val="white"/>
              </w:rPr>
            </w:pPr>
            <w:r>
              <w:rPr>
                <w:highlight w:val="white"/>
              </w:rPr>
              <w:t>18.33%</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46184" w14:textId="77777777" w:rsidR="0079560F" w:rsidRDefault="00B40299">
            <w:pPr>
              <w:widowControl w:val="0"/>
              <w:spacing w:line="240" w:lineRule="auto"/>
              <w:rPr>
                <w:highlight w:val="white"/>
              </w:rPr>
            </w:pPr>
            <w:r>
              <w:rPr>
                <w:highlight w:val="white"/>
              </w:rPr>
              <w:t>20.28%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DD9A0" w14:textId="77777777" w:rsidR="0079560F" w:rsidRDefault="00B40299">
            <w:pPr>
              <w:widowControl w:val="0"/>
              <w:spacing w:line="240" w:lineRule="auto"/>
              <w:rPr>
                <w:highlight w:val="white"/>
              </w:rPr>
            </w:pPr>
            <w:r>
              <w:rPr>
                <w:highlight w:val="white"/>
              </w:rPr>
              <w:t>56.02%</w:t>
            </w:r>
          </w:p>
        </w:tc>
        <w:tc>
          <w:tcPr>
            <w:tcW w:w="1665" w:type="dxa"/>
            <w:shd w:val="clear" w:color="auto" w:fill="auto"/>
            <w:tcMar>
              <w:top w:w="100" w:type="dxa"/>
              <w:left w:w="100" w:type="dxa"/>
              <w:bottom w:w="100" w:type="dxa"/>
              <w:right w:w="100" w:type="dxa"/>
            </w:tcMar>
          </w:tcPr>
          <w:p w14:paraId="50A28C57" w14:textId="77777777" w:rsidR="0079560F" w:rsidRDefault="00B40299">
            <w:pPr>
              <w:widowControl w:val="0"/>
              <w:spacing w:line="240" w:lineRule="auto"/>
              <w:rPr>
                <w:highlight w:val="white"/>
              </w:rPr>
            </w:pPr>
            <w:r>
              <w:rPr>
                <w:highlight w:val="white"/>
              </w:rPr>
              <w:t>-</w:t>
            </w:r>
          </w:p>
        </w:tc>
      </w:tr>
      <w:tr w:rsidR="0079560F" w14:paraId="2F2A68DE" w14:textId="77777777">
        <w:tc>
          <w:tcPr>
            <w:tcW w:w="1665" w:type="dxa"/>
            <w:shd w:val="clear" w:color="auto" w:fill="auto"/>
            <w:tcMar>
              <w:top w:w="100" w:type="dxa"/>
              <w:left w:w="100" w:type="dxa"/>
              <w:bottom w:w="100" w:type="dxa"/>
              <w:right w:w="100" w:type="dxa"/>
            </w:tcMar>
          </w:tcPr>
          <w:p w14:paraId="12808F94" w14:textId="77777777" w:rsidR="0079560F" w:rsidRDefault="00B40299">
            <w:pPr>
              <w:widowControl w:val="0"/>
              <w:spacing w:line="240" w:lineRule="auto"/>
              <w:rPr>
                <w:highlight w:val="white"/>
              </w:rPr>
            </w:pPr>
            <w:r>
              <w:rPr>
                <w:highlight w:val="white"/>
              </w:rPr>
              <w:t>30/9/2020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0D2F7" w14:textId="77777777" w:rsidR="0079560F" w:rsidRDefault="00B40299">
            <w:pPr>
              <w:widowControl w:val="0"/>
              <w:spacing w:line="240" w:lineRule="auto"/>
              <w:rPr>
                <w:highlight w:val="white"/>
              </w:rPr>
            </w:pPr>
            <w:r>
              <w:rPr>
                <w:highlight w:val="white"/>
              </w:rPr>
              <w:t>29.09%</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A4265" w14:textId="77777777" w:rsidR="0079560F" w:rsidRDefault="00B40299">
            <w:pPr>
              <w:widowControl w:val="0"/>
              <w:spacing w:line="240" w:lineRule="auto"/>
              <w:rPr>
                <w:highlight w:val="white"/>
              </w:rPr>
            </w:pPr>
            <w:r>
              <w:rPr>
                <w:highlight w:val="white"/>
              </w:rPr>
              <w:t>25.98%</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1EF69" w14:textId="77777777" w:rsidR="0079560F" w:rsidRDefault="00B40299">
            <w:pPr>
              <w:widowControl w:val="0"/>
              <w:spacing w:line="240" w:lineRule="auto"/>
              <w:rPr>
                <w:highlight w:val="white"/>
              </w:rPr>
            </w:pPr>
            <w:r>
              <w:rPr>
                <w:highlight w:val="white"/>
              </w:rPr>
              <w:t>30.04%</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A7D5E" w14:textId="77777777" w:rsidR="0079560F" w:rsidRDefault="00B40299">
            <w:pPr>
              <w:widowControl w:val="0"/>
              <w:spacing w:line="240" w:lineRule="auto"/>
              <w:rPr>
                <w:highlight w:val="white"/>
              </w:rPr>
            </w:pPr>
            <w:r>
              <w:rPr>
                <w:highlight w:val="white"/>
              </w:rPr>
              <w:t>32.47%</w:t>
            </w:r>
          </w:p>
        </w:tc>
        <w:tc>
          <w:tcPr>
            <w:tcW w:w="1665" w:type="dxa"/>
            <w:shd w:val="clear" w:color="auto" w:fill="auto"/>
            <w:tcMar>
              <w:top w:w="100" w:type="dxa"/>
              <w:left w:w="100" w:type="dxa"/>
              <w:bottom w:w="100" w:type="dxa"/>
              <w:right w:w="100" w:type="dxa"/>
            </w:tcMar>
          </w:tcPr>
          <w:p w14:paraId="32883A1E" w14:textId="77777777" w:rsidR="0079560F" w:rsidRDefault="00B40299">
            <w:pPr>
              <w:widowControl w:val="0"/>
              <w:spacing w:line="240" w:lineRule="auto"/>
              <w:rPr>
                <w:highlight w:val="white"/>
              </w:rPr>
            </w:pPr>
            <w:r>
              <w:rPr>
                <w:highlight w:val="white"/>
              </w:rPr>
              <w:t>-</w:t>
            </w:r>
          </w:p>
        </w:tc>
      </w:tr>
      <w:tr w:rsidR="0079560F" w14:paraId="1E563EB5" w14:textId="77777777">
        <w:tc>
          <w:tcPr>
            <w:tcW w:w="1665" w:type="dxa"/>
            <w:shd w:val="clear" w:color="auto" w:fill="auto"/>
            <w:tcMar>
              <w:top w:w="100" w:type="dxa"/>
              <w:left w:w="100" w:type="dxa"/>
              <w:bottom w:w="100" w:type="dxa"/>
              <w:right w:w="100" w:type="dxa"/>
            </w:tcMar>
          </w:tcPr>
          <w:p w14:paraId="0905C992" w14:textId="77777777" w:rsidR="0079560F" w:rsidRDefault="00B40299">
            <w:pPr>
              <w:widowControl w:val="0"/>
              <w:spacing w:line="240" w:lineRule="auto"/>
              <w:rPr>
                <w:highlight w:val="white"/>
              </w:rPr>
            </w:pPr>
            <w:r>
              <w:rPr>
                <w:highlight w:val="white"/>
              </w:rPr>
              <w:lastRenderedPageBreak/>
              <w:t>31/10/2020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28D01" w14:textId="77777777" w:rsidR="0079560F" w:rsidRDefault="00B40299">
            <w:pPr>
              <w:widowControl w:val="0"/>
              <w:spacing w:line="240" w:lineRule="auto"/>
              <w:rPr>
                <w:highlight w:val="white"/>
              </w:rPr>
            </w:pPr>
            <w:r>
              <w:rPr>
                <w:highlight w:val="white"/>
              </w:rPr>
              <w:t>20.31%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82438" w14:textId="77777777" w:rsidR="0079560F" w:rsidRDefault="00B40299">
            <w:pPr>
              <w:widowControl w:val="0"/>
              <w:spacing w:line="240" w:lineRule="auto"/>
              <w:rPr>
                <w:highlight w:val="white"/>
              </w:rPr>
            </w:pPr>
            <w:r>
              <w:rPr>
                <w:highlight w:val="white"/>
              </w:rPr>
              <w:t>23.52%</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275C5" w14:textId="77777777" w:rsidR="0079560F" w:rsidRDefault="00B40299">
            <w:pPr>
              <w:widowControl w:val="0"/>
              <w:spacing w:line="240" w:lineRule="auto"/>
              <w:rPr>
                <w:highlight w:val="white"/>
              </w:rPr>
            </w:pPr>
            <w:r>
              <w:rPr>
                <w:highlight w:val="white"/>
              </w:rPr>
              <w:t>26.20%</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D0951" w14:textId="77777777" w:rsidR="0079560F" w:rsidRDefault="00B40299">
            <w:pPr>
              <w:widowControl w:val="0"/>
              <w:spacing w:line="240" w:lineRule="auto"/>
              <w:rPr>
                <w:highlight w:val="white"/>
              </w:rPr>
            </w:pPr>
            <w:r>
              <w:rPr>
                <w:highlight w:val="white"/>
              </w:rPr>
              <w:t>27.11%</w:t>
            </w:r>
          </w:p>
        </w:tc>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B40EA" w14:textId="77777777" w:rsidR="0079560F" w:rsidRDefault="00B40299">
            <w:pPr>
              <w:widowControl w:val="0"/>
              <w:spacing w:line="240" w:lineRule="auto"/>
              <w:rPr>
                <w:highlight w:val="white"/>
              </w:rPr>
            </w:pPr>
            <w:r>
              <w:rPr>
                <w:highlight w:val="white"/>
              </w:rPr>
              <w:t>24.54%</w:t>
            </w:r>
          </w:p>
        </w:tc>
      </w:tr>
    </w:tbl>
    <w:p w14:paraId="2887775F" w14:textId="77777777" w:rsidR="008B7BDF" w:rsidRDefault="008B7BDF"/>
    <w:p w14:paraId="6DB0563B" w14:textId="1E7FD127" w:rsidR="0079560F" w:rsidRDefault="00B40299">
      <w:r>
        <w:t>Table 3: Var / ES</w:t>
      </w:r>
    </w:p>
    <w:p w14:paraId="20E90348" w14:textId="77777777" w:rsidR="0079560F" w:rsidRDefault="0079560F"/>
    <w:tbl>
      <w:tblPr>
        <w:tblStyle w:val="a4"/>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3330"/>
        <w:gridCol w:w="3330"/>
      </w:tblGrid>
      <w:tr w:rsidR="0079560F" w14:paraId="42DE10C6" w14:textId="77777777">
        <w:tc>
          <w:tcPr>
            <w:tcW w:w="3330" w:type="dxa"/>
            <w:shd w:val="clear" w:color="auto" w:fill="CFE2F3"/>
            <w:tcMar>
              <w:top w:w="100" w:type="dxa"/>
              <w:left w:w="100" w:type="dxa"/>
              <w:bottom w:w="100" w:type="dxa"/>
              <w:right w:w="100" w:type="dxa"/>
            </w:tcMar>
          </w:tcPr>
          <w:p w14:paraId="262F9FB9" w14:textId="77777777" w:rsidR="0079560F" w:rsidRDefault="00B40299">
            <w:pPr>
              <w:widowControl w:val="0"/>
              <w:pBdr>
                <w:top w:val="nil"/>
                <w:left w:val="nil"/>
                <w:bottom w:val="nil"/>
                <w:right w:val="nil"/>
                <w:between w:val="nil"/>
              </w:pBdr>
              <w:spacing w:line="240" w:lineRule="auto"/>
              <w:rPr>
                <w:b/>
              </w:rPr>
            </w:pPr>
            <w:r>
              <w:rPr>
                <w:b/>
              </w:rPr>
              <w:t>Portfolio</w:t>
            </w:r>
          </w:p>
        </w:tc>
        <w:tc>
          <w:tcPr>
            <w:tcW w:w="3330" w:type="dxa"/>
            <w:shd w:val="clear" w:color="auto" w:fill="CFE2F3"/>
            <w:tcMar>
              <w:top w:w="100" w:type="dxa"/>
              <w:left w:w="100" w:type="dxa"/>
              <w:bottom w:w="100" w:type="dxa"/>
              <w:right w:w="100" w:type="dxa"/>
            </w:tcMar>
          </w:tcPr>
          <w:p w14:paraId="0C0F4963" w14:textId="77777777" w:rsidR="0079560F" w:rsidRDefault="00B40299">
            <w:pPr>
              <w:widowControl w:val="0"/>
              <w:pBdr>
                <w:top w:val="nil"/>
                <w:left w:val="nil"/>
                <w:bottom w:val="nil"/>
                <w:right w:val="nil"/>
                <w:between w:val="nil"/>
              </w:pBdr>
              <w:spacing w:line="240" w:lineRule="auto"/>
              <w:rPr>
                <w:b/>
              </w:rPr>
            </w:pPr>
            <w:r>
              <w:rPr>
                <w:b/>
              </w:rPr>
              <w:t xml:space="preserve">1-day </w:t>
            </w:r>
            <w:proofErr w:type="spellStart"/>
            <w:r>
              <w:rPr>
                <w:b/>
              </w:rPr>
              <w:t>VaR</w:t>
            </w:r>
            <w:proofErr w:type="spellEnd"/>
            <w:r>
              <w:rPr>
                <w:b/>
              </w:rPr>
              <w:t xml:space="preserve"> (5% significance)</w:t>
            </w:r>
          </w:p>
        </w:tc>
        <w:tc>
          <w:tcPr>
            <w:tcW w:w="3330" w:type="dxa"/>
            <w:shd w:val="clear" w:color="auto" w:fill="CFE2F3"/>
            <w:tcMar>
              <w:top w:w="100" w:type="dxa"/>
              <w:left w:w="100" w:type="dxa"/>
              <w:bottom w:w="100" w:type="dxa"/>
              <w:right w:w="100" w:type="dxa"/>
            </w:tcMar>
          </w:tcPr>
          <w:p w14:paraId="417F11E3" w14:textId="77777777" w:rsidR="0079560F" w:rsidRDefault="00B40299">
            <w:pPr>
              <w:widowControl w:val="0"/>
              <w:pBdr>
                <w:top w:val="nil"/>
                <w:left w:val="nil"/>
                <w:bottom w:val="nil"/>
                <w:right w:val="nil"/>
                <w:between w:val="nil"/>
              </w:pBdr>
              <w:spacing w:line="240" w:lineRule="auto"/>
              <w:rPr>
                <w:b/>
              </w:rPr>
            </w:pPr>
            <w:r>
              <w:rPr>
                <w:b/>
              </w:rPr>
              <w:t>1-day ES (5% significance)</w:t>
            </w:r>
          </w:p>
        </w:tc>
      </w:tr>
      <w:tr w:rsidR="0079560F" w14:paraId="52C55550" w14:textId="77777777">
        <w:tc>
          <w:tcPr>
            <w:tcW w:w="3330" w:type="dxa"/>
            <w:shd w:val="clear" w:color="auto" w:fill="auto"/>
            <w:tcMar>
              <w:top w:w="100" w:type="dxa"/>
              <w:left w:w="100" w:type="dxa"/>
              <w:bottom w:w="100" w:type="dxa"/>
              <w:right w:w="100" w:type="dxa"/>
            </w:tcMar>
          </w:tcPr>
          <w:p w14:paraId="5C365791" w14:textId="77777777" w:rsidR="0079560F" w:rsidRDefault="00B40299">
            <w:pPr>
              <w:widowControl w:val="0"/>
              <w:pBdr>
                <w:top w:val="nil"/>
                <w:left w:val="nil"/>
                <w:bottom w:val="nil"/>
                <w:right w:val="nil"/>
                <w:between w:val="nil"/>
              </w:pBdr>
              <w:spacing w:line="240" w:lineRule="auto"/>
            </w:pPr>
            <w:r>
              <w:t>ETIHX (best)</w:t>
            </w:r>
          </w:p>
        </w:tc>
        <w:tc>
          <w:tcPr>
            <w:tcW w:w="3330" w:type="dxa"/>
            <w:shd w:val="clear" w:color="auto" w:fill="auto"/>
            <w:tcMar>
              <w:top w:w="100" w:type="dxa"/>
              <w:left w:w="100" w:type="dxa"/>
              <w:bottom w:w="100" w:type="dxa"/>
              <w:right w:w="100" w:type="dxa"/>
            </w:tcMar>
          </w:tcPr>
          <w:p w14:paraId="2BCA3523" w14:textId="77777777" w:rsidR="0079560F" w:rsidRDefault="00B40299">
            <w:pPr>
              <w:widowControl w:val="0"/>
              <w:pBdr>
                <w:top w:val="nil"/>
                <w:left w:val="nil"/>
                <w:bottom w:val="nil"/>
                <w:right w:val="nil"/>
                <w:between w:val="nil"/>
              </w:pBdr>
              <w:spacing w:line="240" w:lineRule="auto"/>
            </w:pPr>
            <w:r>
              <w:t>3.29%</w:t>
            </w:r>
          </w:p>
        </w:tc>
        <w:tc>
          <w:tcPr>
            <w:tcW w:w="3330" w:type="dxa"/>
            <w:shd w:val="clear" w:color="auto" w:fill="auto"/>
            <w:tcMar>
              <w:top w:w="100" w:type="dxa"/>
              <w:left w:w="100" w:type="dxa"/>
              <w:bottom w:w="100" w:type="dxa"/>
              <w:right w:w="100" w:type="dxa"/>
            </w:tcMar>
          </w:tcPr>
          <w:p w14:paraId="076542EE" w14:textId="77777777" w:rsidR="0079560F" w:rsidRDefault="00B40299">
            <w:pPr>
              <w:widowControl w:val="0"/>
              <w:pBdr>
                <w:top w:val="nil"/>
                <w:left w:val="nil"/>
                <w:bottom w:val="nil"/>
                <w:right w:val="nil"/>
                <w:between w:val="nil"/>
              </w:pBdr>
              <w:spacing w:line="240" w:lineRule="auto"/>
            </w:pPr>
            <w:r>
              <w:t>6.64%</w:t>
            </w:r>
          </w:p>
        </w:tc>
      </w:tr>
      <w:tr w:rsidR="0079560F" w14:paraId="27DAF777" w14:textId="77777777">
        <w:tc>
          <w:tcPr>
            <w:tcW w:w="3330" w:type="dxa"/>
            <w:shd w:val="clear" w:color="auto" w:fill="auto"/>
            <w:tcMar>
              <w:top w:w="100" w:type="dxa"/>
              <w:left w:w="100" w:type="dxa"/>
              <w:bottom w:w="100" w:type="dxa"/>
              <w:right w:w="100" w:type="dxa"/>
            </w:tcMar>
          </w:tcPr>
          <w:p w14:paraId="7766C862" w14:textId="77777777" w:rsidR="0079560F" w:rsidRDefault="00B40299">
            <w:pPr>
              <w:widowControl w:val="0"/>
              <w:pBdr>
                <w:top w:val="nil"/>
                <w:left w:val="nil"/>
                <w:bottom w:val="nil"/>
                <w:right w:val="nil"/>
                <w:between w:val="nil"/>
              </w:pBdr>
              <w:spacing w:line="240" w:lineRule="auto"/>
            </w:pPr>
            <w:r>
              <w:t>RYCFX (worst)</w:t>
            </w:r>
          </w:p>
        </w:tc>
        <w:tc>
          <w:tcPr>
            <w:tcW w:w="3330" w:type="dxa"/>
            <w:shd w:val="clear" w:color="auto" w:fill="auto"/>
            <w:tcMar>
              <w:top w:w="100" w:type="dxa"/>
              <w:left w:w="100" w:type="dxa"/>
              <w:bottom w:w="100" w:type="dxa"/>
              <w:right w:w="100" w:type="dxa"/>
            </w:tcMar>
          </w:tcPr>
          <w:p w14:paraId="3D224E23" w14:textId="77777777" w:rsidR="0079560F" w:rsidRDefault="00B40299">
            <w:pPr>
              <w:widowControl w:val="0"/>
              <w:pBdr>
                <w:top w:val="nil"/>
                <w:left w:val="nil"/>
                <w:bottom w:val="nil"/>
                <w:right w:val="nil"/>
                <w:between w:val="nil"/>
              </w:pBdr>
              <w:spacing w:line="240" w:lineRule="auto"/>
            </w:pPr>
            <w:r>
              <w:t>2.87%</w:t>
            </w:r>
          </w:p>
        </w:tc>
        <w:tc>
          <w:tcPr>
            <w:tcW w:w="3330" w:type="dxa"/>
            <w:shd w:val="clear" w:color="auto" w:fill="auto"/>
            <w:tcMar>
              <w:top w:w="100" w:type="dxa"/>
              <w:left w:w="100" w:type="dxa"/>
              <w:bottom w:w="100" w:type="dxa"/>
              <w:right w:w="100" w:type="dxa"/>
            </w:tcMar>
          </w:tcPr>
          <w:p w14:paraId="681C7C57" w14:textId="77777777" w:rsidR="0079560F" w:rsidRDefault="00B40299">
            <w:pPr>
              <w:widowControl w:val="0"/>
              <w:pBdr>
                <w:top w:val="nil"/>
                <w:left w:val="nil"/>
                <w:bottom w:val="nil"/>
                <w:right w:val="nil"/>
                <w:between w:val="nil"/>
              </w:pBdr>
              <w:spacing w:line="240" w:lineRule="auto"/>
            </w:pPr>
            <w:r>
              <w:t>4.87%</w:t>
            </w:r>
          </w:p>
        </w:tc>
      </w:tr>
      <w:tr w:rsidR="0079560F" w14:paraId="5CE2AD40" w14:textId="77777777">
        <w:tc>
          <w:tcPr>
            <w:tcW w:w="3330" w:type="dxa"/>
            <w:shd w:val="clear" w:color="auto" w:fill="auto"/>
            <w:tcMar>
              <w:top w:w="100" w:type="dxa"/>
              <w:left w:w="100" w:type="dxa"/>
              <w:bottom w:w="100" w:type="dxa"/>
              <w:right w:w="100" w:type="dxa"/>
            </w:tcMar>
          </w:tcPr>
          <w:p w14:paraId="16544C40" w14:textId="77777777" w:rsidR="0079560F" w:rsidRDefault="00B40299">
            <w:pPr>
              <w:widowControl w:val="0"/>
              <w:pBdr>
                <w:top w:val="nil"/>
                <w:left w:val="nil"/>
                <w:bottom w:val="nil"/>
                <w:right w:val="nil"/>
                <w:between w:val="nil"/>
              </w:pBdr>
              <w:spacing w:line="240" w:lineRule="auto"/>
            </w:pPr>
            <w:r>
              <w:t>Index</w:t>
            </w:r>
          </w:p>
        </w:tc>
        <w:tc>
          <w:tcPr>
            <w:tcW w:w="3330" w:type="dxa"/>
            <w:shd w:val="clear" w:color="auto" w:fill="auto"/>
            <w:tcMar>
              <w:top w:w="100" w:type="dxa"/>
              <w:left w:w="100" w:type="dxa"/>
              <w:bottom w:w="100" w:type="dxa"/>
              <w:right w:w="100" w:type="dxa"/>
            </w:tcMar>
          </w:tcPr>
          <w:p w14:paraId="3AFDF9AF" w14:textId="77777777" w:rsidR="0079560F" w:rsidRDefault="00B40299">
            <w:pPr>
              <w:widowControl w:val="0"/>
              <w:pBdr>
                <w:top w:val="nil"/>
                <w:left w:val="nil"/>
                <w:bottom w:val="nil"/>
                <w:right w:val="nil"/>
                <w:between w:val="nil"/>
              </w:pBdr>
              <w:spacing w:line="240" w:lineRule="auto"/>
            </w:pPr>
            <w:r>
              <w:t>2.56%</w:t>
            </w:r>
          </w:p>
        </w:tc>
        <w:tc>
          <w:tcPr>
            <w:tcW w:w="3330" w:type="dxa"/>
            <w:shd w:val="clear" w:color="auto" w:fill="auto"/>
            <w:tcMar>
              <w:top w:w="100" w:type="dxa"/>
              <w:left w:w="100" w:type="dxa"/>
              <w:bottom w:w="100" w:type="dxa"/>
              <w:right w:w="100" w:type="dxa"/>
            </w:tcMar>
          </w:tcPr>
          <w:p w14:paraId="3C607E86" w14:textId="77777777" w:rsidR="0079560F" w:rsidRDefault="00B40299">
            <w:pPr>
              <w:widowControl w:val="0"/>
              <w:pBdr>
                <w:top w:val="nil"/>
                <w:left w:val="nil"/>
                <w:bottom w:val="nil"/>
                <w:right w:val="nil"/>
                <w:between w:val="nil"/>
              </w:pBdr>
              <w:spacing w:line="240" w:lineRule="auto"/>
            </w:pPr>
            <w:r>
              <w:t>5.02%</w:t>
            </w:r>
          </w:p>
        </w:tc>
      </w:tr>
      <w:tr w:rsidR="0079560F" w14:paraId="7439977C" w14:textId="77777777">
        <w:tc>
          <w:tcPr>
            <w:tcW w:w="3330" w:type="dxa"/>
            <w:shd w:val="clear" w:color="auto" w:fill="auto"/>
            <w:tcMar>
              <w:top w:w="100" w:type="dxa"/>
              <w:left w:w="100" w:type="dxa"/>
              <w:bottom w:w="100" w:type="dxa"/>
              <w:right w:w="100" w:type="dxa"/>
            </w:tcMar>
          </w:tcPr>
          <w:p w14:paraId="7F1D5088" w14:textId="77777777" w:rsidR="0079560F" w:rsidRDefault="00B40299">
            <w:pPr>
              <w:widowControl w:val="0"/>
              <w:pBdr>
                <w:top w:val="nil"/>
                <w:left w:val="nil"/>
                <w:bottom w:val="nil"/>
                <w:right w:val="nil"/>
                <w:between w:val="nil"/>
              </w:pBdr>
              <w:spacing w:line="240" w:lineRule="auto"/>
              <w:rPr>
                <w:b/>
              </w:rPr>
            </w:pPr>
            <w:proofErr w:type="spellStart"/>
            <w:r>
              <w:rPr>
                <w:b/>
              </w:rPr>
              <w:t>Optimised</w:t>
            </w:r>
            <w:proofErr w:type="spellEnd"/>
          </w:p>
        </w:tc>
        <w:tc>
          <w:tcPr>
            <w:tcW w:w="3330" w:type="dxa"/>
            <w:shd w:val="clear" w:color="auto" w:fill="auto"/>
            <w:tcMar>
              <w:top w:w="100" w:type="dxa"/>
              <w:left w:w="100" w:type="dxa"/>
              <w:bottom w:w="100" w:type="dxa"/>
              <w:right w:w="100" w:type="dxa"/>
            </w:tcMar>
          </w:tcPr>
          <w:p w14:paraId="22A75AE8" w14:textId="77777777" w:rsidR="0079560F" w:rsidRDefault="00B40299">
            <w:pPr>
              <w:widowControl w:val="0"/>
              <w:pBdr>
                <w:top w:val="nil"/>
                <w:left w:val="nil"/>
                <w:bottom w:val="nil"/>
                <w:right w:val="nil"/>
                <w:between w:val="nil"/>
              </w:pBdr>
              <w:spacing w:line="240" w:lineRule="auto"/>
            </w:pPr>
            <w:r>
              <w:t>3.86%</w:t>
            </w:r>
          </w:p>
        </w:tc>
        <w:tc>
          <w:tcPr>
            <w:tcW w:w="3330" w:type="dxa"/>
            <w:shd w:val="clear" w:color="auto" w:fill="auto"/>
            <w:tcMar>
              <w:top w:w="100" w:type="dxa"/>
              <w:left w:w="100" w:type="dxa"/>
              <w:bottom w:w="100" w:type="dxa"/>
              <w:right w:w="100" w:type="dxa"/>
            </w:tcMar>
          </w:tcPr>
          <w:p w14:paraId="09574688" w14:textId="77777777" w:rsidR="0079560F" w:rsidRDefault="00B40299">
            <w:pPr>
              <w:widowControl w:val="0"/>
              <w:pBdr>
                <w:top w:val="nil"/>
                <w:left w:val="nil"/>
                <w:bottom w:val="nil"/>
                <w:right w:val="nil"/>
                <w:between w:val="nil"/>
              </w:pBdr>
              <w:spacing w:line="240" w:lineRule="auto"/>
            </w:pPr>
            <w:r>
              <w:t>7.17%</w:t>
            </w:r>
          </w:p>
        </w:tc>
      </w:tr>
    </w:tbl>
    <w:p w14:paraId="60756635" w14:textId="77777777" w:rsidR="0079560F" w:rsidRDefault="0079560F"/>
    <w:p w14:paraId="12DEEA54" w14:textId="77777777" w:rsidR="0079560F" w:rsidRDefault="0079560F"/>
    <w:p w14:paraId="0CD061A6" w14:textId="77777777" w:rsidR="0079560F" w:rsidRDefault="00B40299">
      <w:pPr>
        <w:rPr>
          <w:b/>
          <w:u w:val="single"/>
        </w:rPr>
      </w:pPr>
      <w:r>
        <w:rPr>
          <w:b/>
          <w:u w:val="single"/>
        </w:rPr>
        <w:t>Appendices</w:t>
      </w:r>
    </w:p>
    <w:p w14:paraId="313EDB92" w14:textId="77777777" w:rsidR="0079560F" w:rsidRPr="008B7BDF" w:rsidRDefault="00B40299">
      <w:pPr>
        <w:rPr>
          <w:b/>
          <w:bCs/>
        </w:rPr>
      </w:pPr>
      <w:r w:rsidRPr="008B7BDF">
        <w:rPr>
          <w:b/>
          <w:bCs/>
        </w:rPr>
        <w:t>Appendix A: Best / Worst portfolio adjustments</w:t>
      </w:r>
    </w:p>
    <w:p w14:paraId="537A47B4" w14:textId="77777777" w:rsidR="0079560F" w:rsidRDefault="00B40299">
      <w:r>
        <w:rPr>
          <w:noProof/>
        </w:rPr>
        <w:drawing>
          <wp:inline distT="114300" distB="114300" distL="114300" distR="114300" wp14:anchorId="015D5F05" wp14:editId="7612F7F0">
            <wp:extent cx="5405438" cy="3727178"/>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405438" cy="3727178"/>
                    </a:xfrm>
                    <a:prstGeom prst="rect">
                      <a:avLst/>
                    </a:prstGeom>
                    <a:ln/>
                  </pic:spPr>
                </pic:pic>
              </a:graphicData>
            </a:graphic>
          </wp:inline>
        </w:drawing>
      </w:r>
    </w:p>
    <w:p w14:paraId="151DB22A" w14:textId="77777777" w:rsidR="0079560F" w:rsidRDefault="00B40299">
      <w:r>
        <w:rPr>
          <w:noProof/>
        </w:rPr>
        <w:lastRenderedPageBreak/>
        <w:drawing>
          <wp:inline distT="114300" distB="114300" distL="114300" distR="114300" wp14:anchorId="50BEAA13" wp14:editId="3D8F71E5">
            <wp:extent cx="5682939" cy="392498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682939" cy="3924987"/>
                    </a:xfrm>
                    <a:prstGeom prst="rect">
                      <a:avLst/>
                    </a:prstGeom>
                    <a:ln/>
                  </pic:spPr>
                </pic:pic>
              </a:graphicData>
            </a:graphic>
          </wp:inline>
        </w:drawing>
      </w:r>
    </w:p>
    <w:p w14:paraId="2F48ACB5" w14:textId="77777777" w:rsidR="0079560F" w:rsidRDefault="0079560F"/>
    <w:p w14:paraId="12165F1E" w14:textId="77777777" w:rsidR="0079560F" w:rsidRPr="008B7BDF" w:rsidRDefault="00B40299">
      <w:pPr>
        <w:rPr>
          <w:b/>
          <w:bCs/>
        </w:rPr>
      </w:pPr>
      <w:r w:rsidRPr="008B7BDF">
        <w:rPr>
          <w:b/>
          <w:bCs/>
        </w:rPr>
        <w:t>Appendix B: testing normality of log returns</w:t>
      </w:r>
    </w:p>
    <w:p w14:paraId="7F4BC0AF" w14:textId="77777777" w:rsidR="0079560F" w:rsidRDefault="0079560F">
      <w:pPr>
        <w:ind w:left="720"/>
      </w:pPr>
    </w:p>
    <w:p w14:paraId="182C0205" w14:textId="77777777" w:rsidR="0079560F" w:rsidRDefault="00B40299">
      <w:r>
        <w:t xml:space="preserve">The parametric approach of estimating </w:t>
      </w:r>
      <w:proofErr w:type="spellStart"/>
      <w:r>
        <w:t>VaR</w:t>
      </w:r>
      <w:proofErr w:type="spellEnd"/>
      <w:r>
        <w:t xml:space="preserve"> assumes normality of the return series. We test this assumption visually and mathematically. First, we plot the distribution of the returns and the Q-Q plot. The distribution of the returns appears to follow a norm</w:t>
      </w:r>
      <w:r>
        <w:t>al distribution centered around 0. The Q-Q plot also generally does not suggest any deviation from the normal distribution.</w:t>
      </w:r>
    </w:p>
    <w:p w14:paraId="6B564AD0" w14:textId="77777777" w:rsidR="0079560F" w:rsidRDefault="0079560F"/>
    <w:p w14:paraId="6880F4F6" w14:textId="77777777" w:rsidR="0079560F" w:rsidRDefault="00B40299">
      <w:r>
        <w:rPr>
          <w:noProof/>
        </w:rPr>
        <w:lastRenderedPageBreak/>
        <w:drawing>
          <wp:inline distT="114300" distB="114300" distL="114300" distR="114300" wp14:anchorId="4311339C" wp14:editId="05F5C436">
            <wp:extent cx="6343650" cy="2946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6343650" cy="2946400"/>
                    </a:xfrm>
                    <a:prstGeom prst="rect">
                      <a:avLst/>
                    </a:prstGeom>
                    <a:ln/>
                  </pic:spPr>
                </pic:pic>
              </a:graphicData>
            </a:graphic>
          </wp:inline>
        </w:drawing>
      </w:r>
    </w:p>
    <w:p w14:paraId="364274AF" w14:textId="77777777" w:rsidR="0079560F" w:rsidRDefault="0079560F">
      <w:pPr>
        <w:ind w:left="720"/>
      </w:pPr>
    </w:p>
    <w:p w14:paraId="2E8325F5" w14:textId="77777777" w:rsidR="0079560F" w:rsidRDefault="00B40299">
      <w:r>
        <w:t>We also performed the Shapiro test for normality, which tests the null hypothesis that the data is normally distributed. The tes</w:t>
      </w:r>
      <w:r>
        <w:t xml:space="preserve">t returned a p-value of 0.93. We conclude that the null hypothesis cannot be </w:t>
      </w:r>
      <w:proofErr w:type="gramStart"/>
      <w:r>
        <w:t>rejected</w:t>
      </w:r>
      <w:proofErr w:type="gramEnd"/>
      <w:r>
        <w:t xml:space="preserve"> and the normality assumption holds. </w:t>
      </w:r>
    </w:p>
    <w:p w14:paraId="7853ED4F" w14:textId="77777777" w:rsidR="0079560F" w:rsidRDefault="0079560F">
      <w:pPr>
        <w:ind w:left="720"/>
      </w:pPr>
    </w:p>
    <w:p w14:paraId="46C3F093" w14:textId="77777777" w:rsidR="0079560F" w:rsidRDefault="0079560F"/>
    <w:p w14:paraId="65F1216D" w14:textId="77777777" w:rsidR="0079560F" w:rsidRPr="008B7BDF" w:rsidRDefault="00B40299">
      <w:pPr>
        <w:rPr>
          <w:b/>
          <w:bCs/>
        </w:rPr>
      </w:pPr>
      <w:r w:rsidRPr="008B7BDF">
        <w:rPr>
          <w:b/>
          <w:bCs/>
        </w:rPr>
        <w:t>Appendix C: checking for serial autocorrelation</w:t>
      </w:r>
      <w:r w:rsidRPr="008B7BDF">
        <w:rPr>
          <w:b/>
          <w:bCs/>
          <w:noProof/>
        </w:rPr>
        <w:drawing>
          <wp:inline distT="114300" distB="114300" distL="114300" distR="114300" wp14:anchorId="40750B9B" wp14:editId="654B17CB">
            <wp:extent cx="3619500" cy="2514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619500" cy="2514600"/>
                    </a:xfrm>
                    <a:prstGeom prst="rect">
                      <a:avLst/>
                    </a:prstGeom>
                    <a:ln/>
                  </pic:spPr>
                </pic:pic>
              </a:graphicData>
            </a:graphic>
          </wp:inline>
        </w:drawing>
      </w:r>
    </w:p>
    <w:p w14:paraId="6E9C2D42" w14:textId="77777777" w:rsidR="0079560F" w:rsidRDefault="0079560F">
      <w:pPr>
        <w:ind w:left="720"/>
      </w:pPr>
    </w:p>
    <w:p w14:paraId="788134EF" w14:textId="77777777" w:rsidR="0079560F" w:rsidRDefault="00B40299">
      <w:r>
        <w:t>As mentioned by Joel, the multiplied volatility is usually modified by some autoc</w:t>
      </w:r>
      <w:r>
        <w:t>orrelation factor (</w:t>
      </w:r>
      <w:proofErr w:type="gramStart"/>
      <w:r>
        <w:t>ACF)  when</w:t>
      </w:r>
      <w:proofErr w:type="gramEnd"/>
      <w:r>
        <w:t xml:space="preserve"> scaling </w:t>
      </w:r>
      <w:proofErr w:type="spellStart"/>
      <w:r>
        <w:t>VaR</w:t>
      </w:r>
      <w:proofErr w:type="spellEnd"/>
      <w:r>
        <w:t xml:space="preserve"> to a longer horizon. In this plot, we </w:t>
      </w:r>
      <w:proofErr w:type="spellStart"/>
      <w:r>
        <w:t>analyse</w:t>
      </w:r>
      <w:proofErr w:type="spellEnd"/>
      <w:r>
        <w:t xml:space="preserve"> the ACF for the log returns of the </w:t>
      </w:r>
      <w:proofErr w:type="spellStart"/>
      <w:r>
        <w:t>optimised</w:t>
      </w:r>
      <w:proofErr w:type="spellEnd"/>
      <w:r>
        <w:t xml:space="preserve"> portfolio for lags up to 126 days (6 months). The blue region shows the 95% confidence level for the statistical significan</w:t>
      </w:r>
      <w:r>
        <w:t xml:space="preserve">ce of the ACF. Generally, the ACFs are not significant with the exception of lags around 18 and 70. Nonetheless, we make the assumption that results of the multiplied </w:t>
      </w:r>
      <w:proofErr w:type="spellStart"/>
      <w:r>
        <w:t>VaR</w:t>
      </w:r>
      <w:proofErr w:type="spellEnd"/>
      <w:r>
        <w:t xml:space="preserve"> would not be too different than if we had adjusted it with the ACF. </w:t>
      </w:r>
    </w:p>
    <w:p w14:paraId="0FD8ADB0" w14:textId="77777777" w:rsidR="0079560F" w:rsidRDefault="0079560F"/>
    <w:p w14:paraId="068BEBF8" w14:textId="77777777" w:rsidR="0079560F" w:rsidRPr="008B7BDF" w:rsidRDefault="00B40299">
      <w:pPr>
        <w:rPr>
          <w:b/>
          <w:bCs/>
        </w:rPr>
      </w:pPr>
      <w:r w:rsidRPr="008B7BDF">
        <w:rPr>
          <w:b/>
          <w:bCs/>
        </w:rPr>
        <w:t>Appendix D: cal</w:t>
      </w:r>
      <w:r w:rsidRPr="008B7BDF">
        <w:rPr>
          <w:b/>
          <w:bCs/>
        </w:rPr>
        <w:t xml:space="preserve">culation of hedge cost </w:t>
      </w:r>
    </w:p>
    <w:p w14:paraId="40E830F5" w14:textId="77777777" w:rsidR="0079560F" w:rsidRDefault="00B40299">
      <w:r>
        <w:t>First, we estimate the number of contracts that are required for a perfect hedge.</w:t>
      </w:r>
    </w:p>
    <w:p w14:paraId="26AAF2C2" w14:textId="77777777" w:rsidR="0079560F" w:rsidRDefault="0079560F">
      <w:pPr>
        <w:ind w:left="720"/>
      </w:pPr>
    </w:p>
    <w:p w14:paraId="072FC875" w14:textId="77777777" w:rsidR="0079560F" w:rsidRDefault="00B40299">
      <w:pPr>
        <w:ind w:left="720"/>
      </w:pPr>
      <m:oMathPara>
        <m:oMath>
          <m:r>
            <w:rPr>
              <w:rFonts w:ascii="Cambria Math" w:hAnsi="Cambria Math"/>
            </w:rPr>
            <m:t>portfolio</m:t>
          </m:r>
          <m:r>
            <w:rPr>
              <w:rFonts w:ascii="Cambria Math" w:hAnsi="Cambria Math"/>
            </w:rPr>
            <m:t xml:space="preserve"> </m:t>
          </m:r>
          <m:r>
            <w:rPr>
              <w:rFonts w:ascii="Cambria Math" w:hAnsi="Cambria Math"/>
            </w:rPr>
            <m:t>initial</m:t>
          </m:r>
          <m:r>
            <w:rPr>
              <w:rFonts w:ascii="Cambria Math" w:hAnsi="Cambria Math"/>
            </w:rPr>
            <m:t xml:space="preserve"> </m:t>
          </m:r>
          <m:r>
            <w:rPr>
              <w:rFonts w:ascii="Cambria Math" w:hAnsi="Cambria Math"/>
            </w:rPr>
            <m:t>value</m:t>
          </m:r>
          <m:r>
            <w:rPr>
              <w:rFonts w:ascii="Cambria Math" w:hAnsi="Cambria Math"/>
            </w:rPr>
            <m:t xml:space="preserve"> = 1,000,000</m:t>
          </m:r>
        </m:oMath>
      </m:oMathPara>
    </w:p>
    <w:p w14:paraId="4F29EB06" w14:textId="77777777" w:rsidR="0079560F" w:rsidRDefault="00B40299">
      <w:pPr>
        <w:ind w:left="720"/>
      </w:pPr>
      <m:oMathPara>
        <m:oMath>
          <m:r>
            <w:rPr>
              <w:rFonts w:ascii="Cambria Math" w:hAnsi="Cambria Math"/>
            </w:rPr>
            <m:t>FHLC</m:t>
          </m:r>
          <m:r>
            <w:rPr>
              <w:rFonts w:ascii="Cambria Math" w:hAnsi="Cambria Math"/>
            </w:rPr>
            <m:t xml:space="preserve"> </m:t>
          </m:r>
          <m:r>
            <w:rPr>
              <w:rFonts w:ascii="Cambria Math" w:hAnsi="Cambria Math"/>
            </w:rPr>
            <m:t>spot</m:t>
          </m:r>
          <m:r>
            <w:rPr>
              <w:rFonts w:ascii="Cambria Math" w:hAnsi="Cambria Math"/>
            </w:rPr>
            <m:t xml:space="preserve"> </m:t>
          </m:r>
          <m:r>
            <w:rPr>
              <w:rFonts w:ascii="Cambria Math" w:hAnsi="Cambria Math"/>
            </w:rPr>
            <m:t>price</m:t>
          </m:r>
          <m:r>
            <w:rPr>
              <w:rFonts w:ascii="Cambria Math" w:hAnsi="Cambria Math"/>
            </w:rPr>
            <m:t xml:space="preserve"> </m:t>
          </m:r>
          <m:r>
            <w:rPr>
              <w:rFonts w:ascii="Cambria Math" w:hAnsi="Cambria Math"/>
            </w:rPr>
            <m:t>on</m:t>
          </m:r>
          <m:r>
            <w:rPr>
              <w:rFonts w:ascii="Cambria Math" w:hAnsi="Cambria Math"/>
            </w:rPr>
            <m:t xml:space="preserve"> 31/12/2019= 49.08</m:t>
          </m:r>
        </m:oMath>
      </m:oMathPara>
    </w:p>
    <w:p w14:paraId="162A19B4" w14:textId="77777777" w:rsidR="0079560F" w:rsidRDefault="00B40299">
      <w:pPr>
        <w:ind w:left="720"/>
      </w:pPr>
      <m:oMathPara>
        <m:oMath>
          <m:r>
            <w:rPr>
              <w:rFonts w:ascii="Cambria Math" w:hAnsi="Cambria Math"/>
            </w:rPr>
            <m:t>contract</m:t>
          </m:r>
          <m:r>
            <w:rPr>
              <w:rFonts w:ascii="Cambria Math" w:hAnsi="Cambria Math"/>
            </w:rPr>
            <m:t xml:space="preserve"> </m:t>
          </m:r>
          <m:r>
            <w:rPr>
              <w:rFonts w:ascii="Cambria Math" w:hAnsi="Cambria Math"/>
            </w:rPr>
            <m:t>size</m:t>
          </m:r>
          <m:r>
            <w:rPr>
              <w:rFonts w:ascii="Cambria Math" w:hAnsi="Cambria Math"/>
            </w:rPr>
            <m:t xml:space="preserve"> = 100</m:t>
          </m:r>
        </m:oMath>
      </m:oMathPara>
    </w:p>
    <w:p w14:paraId="6828BDAB" w14:textId="77777777" w:rsidR="0079560F" w:rsidRDefault="00B40299">
      <w:pPr>
        <w:ind w:left="720"/>
      </w:pPr>
      <m:oMathPara>
        <m:oMath>
          <m:r>
            <w:rPr>
              <w:rFonts w:ascii="Cambria Math" w:hAnsi="Cambria Math"/>
            </w:rPr>
            <m:t>cont</m:t>
          </m:r>
          <m:r>
            <w:rPr>
              <w:rFonts w:ascii="Cambria Math" w:hAnsi="Cambria Math"/>
            </w:rPr>
            <m:t>racts</m:t>
          </m:r>
          <m:r>
            <w:rPr>
              <w:rFonts w:ascii="Cambria Math" w:hAnsi="Cambria Math"/>
            </w:rPr>
            <m:t xml:space="preserve"> </m:t>
          </m:r>
          <m:r>
            <w:rPr>
              <w:rFonts w:ascii="Cambria Math" w:hAnsi="Cambria Math"/>
            </w:rPr>
            <m:t>required</m:t>
          </m:r>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perfect</m:t>
          </m:r>
          <m:r>
            <w:rPr>
              <w:rFonts w:ascii="Cambria Math" w:hAnsi="Cambria Math"/>
            </w:rPr>
            <m:t xml:space="preserve"> h</m:t>
          </m:r>
          <m:r>
            <w:rPr>
              <w:rFonts w:ascii="Cambria Math" w:hAnsi="Cambria Math"/>
            </w:rPr>
            <m:t>edge</m:t>
          </m:r>
          <m:r>
            <w:rPr>
              <w:rFonts w:ascii="Cambria Math" w:hAnsi="Cambria Math"/>
            </w:rPr>
            <m:t xml:space="preserve"> = </m:t>
          </m:r>
          <m:r>
            <w:rPr>
              <w:rFonts w:ascii="Cambria Math" w:hAnsi="Cambria Math"/>
            </w:rPr>
            <m:t>portfolio</m:t>
          </m:r>
          <m:r>
            <w:rPr>
              <w:rFonts w:ascii="Cambria Math" w:hAnsi="Cambria Math"/>
            </w:rPr>
            <m:t xml:space="preserve"> </m:t>
          </m:r>
          <m:r>
            <w:rPr>
              <w:rFonts w:ascii="Cambria Math" w:hAnsi="Cambria Math"/>
            </w:rPr>
            <m:t>value</m:t>
          </m:r>
          <m:r>
            <w:rPr>
              <w:rFonts w:ascii="Cambria Math" w:hAnsi="Cambria Math"/>
            </w:rPr>
            <m:t xml:space="preserve"> / (</m:t>
          </m:r>
          <m:r>
            <w:rPr>
              <w:rFonts w:ascii="Cambria Math" w:hAnsi="Cambria Math"/>
            </w:rPr>
            <m:t>contract</m:t>
          </m:r>
          <m:r>
            <w:rPr>
              <w:rFonts w:ascii="Cambria Math" w:hAnsi="Cambria Math"/>
            </w:rPr>
            <m:t xml:space="preserve"> </m:t>
          </m:r>
          <m:r>
            <w:rPr>
              <w:rFonts w:ascii="Cambria Math" w:hAnsi="Cambria Math"/>
            </w:rPr>
            <m:t>size</m:t>
          </m:r>
          <m:r>
            <w:rPr>
              <w:rFonts w:ascii="Cambria Math" w:hAnsi="Cambria Math"/>
            </w:rPr>
            <m:t xml:space="preserve"> * </m:t>
          </m:r>
          <m:r>
            <w:rPr>
              <w:rFonts w:ascii="Cambria Math" w:hAnsi="Cambria Math"/>
            </w:rPr>
            <m:t>FHLCspot</m:t>
          </m:r>
          <m:r>
            <w:rPr>
              <w:rFonts w:ascii="Cambria Math" w:hAnsi="Cambria Math"/>
            </w:rPr>
            <m:t xml:space="preserve"> </m:t>
          </m:r>
          <m:r>
            <w:rPr>
              <w:rFonts w:ascii="Cambria Math" w:hAnsi="Cambria Math"/>
            </w:rPr>
            <m:t>price</m:t>
          </m:r>
          <m:r>
            <w:rPr>
              <w:rFonts w:ascii="Cambria Math" w:hAnsi="Cambria Math"/>
            </w:rPr>
            <m:t xml:space="preserve">) </m:t>
          </m:r>
        </m:oMath>
      </m:oMathPara>
    </w:p>
    <w:p w14:paraId="7E013A8F" w14:textId="77777777" w:rsidR="0079560F" w:rsidRDefault="0079560F">
      <w:pPr>
        <w:ind w:left="720"/>
      </w:pPr>
    </w:p>
    <w:p w14:paraId="1030804E" w14:textId="77777777" w:rsidR="0079560F" w:rsidRDefault="00B40299">
      <w:r>
        <w:t>For a cross hedge, we simply multiply the contracts required by the estimated beta coefficient obtained from OLS regression. After that, it is trivial to calculate the cost of the hedge and express it as a percentage of the total portfolio.</w:t>
      </w:r>
    </w:p>
    <w:p w14:paraId="2FB6E9A8" w14:textId="77777777" w:rsidR="0079560F" w:rsidRDefault="0079560F">
      <w:pPr>
        <w:ind w:left="720"/>
      </w:pPr>
    </w:p>
    <w:p w14:paraId="172EAA26" w14:textId="77777777" w:rsidR="0079560F" w:rsidRDefault="00B40299">
      <w:pPr>
        <w:ind w:left="720"/>
      </w:pPr>
      <m:oMathPara>
        <m:oMath>
          <m:r>
            <w:rPr>
              <w:rFonts w:ascii="Cambria Math" w:hAnsi="Cambria Math"/>
            </w:rPr>
            <m:t>contrac</m:t>
          </m:r>
          <m:r>
            <w:rPr>
              <w:rFonts w:ascii="Cambria Math" w:hAnsi="Cambria Math"/>
            </w:rPr>
            <m:t>ts</m:t>
          </m:r>
          <m:r>
            <w:rPr>
              <w:rFonts w:ascii="Cambria Math" w:hAnsi="Cambria Math"/>
            </w:rPr>
            <m:t xml:space="preserve"> </m:t>
          </m:r>
          <m:r>
            <w:rPr>
              <w:rFonts w:ascii="Cambria Math" w:hAnsi="Cambria Math"/>
            </w:rPr>
            <m:t>required</m:t>
          </m:r>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cross</m:t>
          </m:r>
          <m:r>
            <w:rPr>
              <w:rFonts w:ascii="Cambria Math" w:hAnsi="Cambria Math"/>
            </w:rPr>
            <m:t xml:space="preserve"> h</m:t>
          </m:r>
          <m:r>
            <w:rPr>
              <w:rFonts w:ascii="Cambria Math" w:hAnsi="Cambria Math"/>
            </w:rPr>
            <m:t>edge</m:t>
          </m:r>
          <m:r>
            <w:rPr>
              <w:rFonts w:ascii="Cambria Math" w:hAnsi="Cambria Math"/>
            </w:rPr>
            <m:t xml:space="preserve"> = </m:t>
          </m:r>
          <m:r>
            <w:rPr>
              <w:rFonts w:ascii="Cambria Math" w:hAnsi="Cambria Math"/>
            </w:rPr>
            <m:t>contracts</m:t>
          </m:r>
          <m:r>
            <w:rPr>
              <w:rFonts w:ascii="Cambria Math" w:hAnsi="Cambria Math"/>
            </w:rPr>
            <m:t xml:space="preserve"> </m:t>
          </m:r>
          <m:r>
            <w:rPr>
              <w:rFonts w:ascii="Cambria Math" w:hAnsi="Cambria Math"/>
            </w:rPr>
            <m:t>required</m:t>
          </m:r>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perfect</m:t>
          </m:r>
          <m:r>
            <w:rPr>
              <w:rFonts w:ascii="Cambria Math" w:hAnsi="Cambria Math"/>
            </w:rPr>
            <m:t xml:space="preserve"> h</m:t>
          </m:r>
          <m:r>
            <w:rPr>
              <w:rFonts w:ascii="Cambria Math" w:hAnsi="Cambria Math"/>
            </w:rPr>
            <m:t>edge</m:t>
          </m:r>
          <m:r>
            <w:rPr>
              <w:rFonts w:ascii="Cambria Math" w:hAnsi="Cambria Math"/>
            </w:rPr>
            <m:t xml:space="preserve"> * </m:t>
          </m:r>
          <m:r>
            <w:rPr>
              <w:rFonts w:ascii="Cambria Math" w:hAnsi="Cambria Math"/>
            </w:rPr>
            <m:t>beta</m:t>
          </m:r>
        </m:oMath>
      </m:oMathPara>
    </w:p>
    <w:p w14:paraId="74423EA8" w14:textId="77777777" w:rsidR="0079560F" w:rsidRDefault="00B40299">
      <w:pPr>
        <w:ind w:left="720"/>
      </w:pPr>
      <m:oMathPara>
        <m:oMath>
          <m:r>
            <w:rPr>
              <w:rFonts w:ascii="Cambria Math" w:hAnsi="Cambria Math"/>
            </w:rPr>
            <m:t>h</m:t>
          </m:r>
          <m:r>
            <w:rPr>
              <w:rFonts w:ascii="Cambria Math" w:hAnsi="Cambria Math"/>
            </w:rPr>
            <m:t>edge</m:t>
          </m:r>
          <m:r>
            <w:rPr>
              <w:rFonts w:ascii="Cambria Math" w:hAnsi="Cambria Math"/>
            </w:rPr>
            <m:t xml:space="preserve"> </m:t>
          </m:r>
          <m:r>
            <w:rPr>
              <w:rFonts w:ascii="Cambria Math" w:hAnsi="Cambria Math"/>
            </w:rPr>
            <m:t>cost</m:t>
          </m:r>
          <m:r>
            <w:rPr>
              <w:rFonts w:ascii="Cambria Math" w:hAnsi="Cambria Math"/>
            </w:rPr>
            <m:t xml:space="preserve"> = </m:t>
          </m:r>
          <m:r>
            <w:rPr>
              <w:rFonts w:ascii="Cambria Math" w:hAnsi="Cambria Math"/>
            </w:rPr>
            <m:t>contracts</m:t>
          </m:r>
          <m:r>
            <w:rPr>
              <w:rFonts w:ascii="Cambria Math" w:hAnsi="Cambria Math"/>
            </w:rPr>
            <m:t xml:space="preserve"> </m:t>
          </m:r>
          <m:r>
            <w:rPr>
              <w:rFonts w:ascii="Cambria Math" w:hAnsi="Cambria Math"/>
            </w:rPr>
            <m:t>required</m:t>
          </m:r>
          <m:r>
            <w:rPr>
              <w:rFonts w:ascii="Cambria Math" w:hAnsi="Cambria Math"/>
            </w:rPr>
            <m:t xml:space="preserve"> </m:t>
          </m:r>
          <m:r>
            <w:rPr>
              <w:rFonts w:ascii="Cambria Math" w:hAnsi="Cambria Math"/>
            </w:rPr>
            <m:t>for</m:t>
          </m:r>
          <m:r>
            <w:rPr>
              <w:rFonts w:ascii="Cambria Math" w:hAnsi="Cambria Math"/>
            </w:rPr>
            <m:t xml:space="preserve"> </m:t>
          </m:r>
          <m:r>
            <w:rPr>
              <w:rFonts w:ascii="Cambria Math" w:hAnsi="Cambria Math"/>
            </w:rPr>
            <m:t>cross</m:t>
          </m:r>
          <m:r>
            <w:rPr>
              <w:rFonts w:ascii="Cambria Math" w:hAnsi="Cambria Math"/>
            </w:rPr>
            <m:t xml:space="preserve"> h</m:t>
          </m:r>
          <m:r>
            <w:rPr>
              <w:rFonts w:ascii="Cambria Math" w:hAnsi="Cambria Math"/>
            </w:rPr>
            <m:t>edge</m:t>
          </m:r>
          <m:r>
            <w:rPr>
              <w:rFonts w:ascii="Cambria Math" w:hAnsi="Cambria Math"/>
            </w:rPr>
            <m:t xml:space="preserve"> * </m:t>
          </m:r>
          <m:r>
            <w:rPr>
              <w:rFonts w:ascii="Cambria Math" w:hAnsi="Cambria Math"/>
            </w:rPr>
            <m:t>contract</m:t>
          </m:r>
          <m:r>
            <w:rPr>
              <w:rFonts w:ascii="Cambria Math" w:hAnsi="Cambria Math"/>
            </w:rPr>
            <m:t xml:space="preserve"> </m:t>
          </m:r>
          <m:r>
            <w:rPr>
              <w:rFonts w:ascii="Cambria Math" w:hAnsi="Cambria Math"/>
            </w:rPr>
            <m:t>size</m:t>
          </m:r>
          <m:r>
            <w:rPr>
              <w:rFonts w:ascii="Cambria Math" w:hAnsi="Cambria Math"/>
            </w:rPr>
            <m:t xml:space="preserve"> *</m:t>
          </m:r>
          <m:r>
            <w:rPr>
              <w:rFonts w:ascii="Cambria Math" w:hAnsi="Cambria Math"/>
            </w:rPr>
            <m:t>contr</m:t>
          </m:r>
          <m:r>
            <w:rPr>
              <w:rFonts w:ascii="Cambria Math" w:hAnsi="Cambria Math"/>
            </w:rPr>
            <m:t>a</m:t>
          </m:r>
          <m:r>
            <w:rPr>
              <w:rFonts w:ascii="Cambria Math" w:hAnsi="Cambria Math"/>
            </w:rPr>
            <m:t>ct</m:t>
          </m:r>
          <m:r>
            <w:rPr>
              <w:rFonts w:ascii="Cambria Math" w:hAnsi="Cambria Math"/>
            </w:rPr>
            <m:t xml:space="preserve"> </m:t>
          </m:r>
          <m:r>
            <w:rPr>
              <w:rFonts w:ascii="Cambria Math" w:hAnsi="Cambria Math"/>
            </w:rPr>
            <m:t>premium</m:t>
          </m:r>
        </m:oMath>
      </m:oMathPara>
    </w:p>
    <w:p w14:paraId="2C6A9E7B" w14:textId="77777777" w:rsidR="0079560F" w:rsidRDefault="00B40299">
      <w:pPr>
        <w:ind w:left="720"/>
      </w:pPr>
      <m:oMathPara>
        <m:oMath>
          <m:r>
            <w:rPr>
              <w:rFonts w:ascii="Cambria Math" w:hAnsi="Cambria Math"/>
            </w:rPr>
            <m:t>h</m:t>
          </m:r>
          <m:r>
            <w:rPr>
              <w:rFonts w:ascii="Cambria Math" w:hAnsi="Cambria Math"/>
            </w:rPr>
            <m:t>edge</m:t>
          </m:r>
          <m:r>
            <w:rPr>
              <w:rFonts w:ascii="Cambria Math" w:hAnsi="Cambria Math"/>
            </w:rPr>
            <m:t xml:space="preserve"> </m:t>
          </m:r>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 h</m:t>
          </m:r>
          <m:r>
            <w:rPr>
              <w:rFonts w:ascii="Cambria Math" w:hAnsi="Cambria Math"/>
            </w:rPr>
            <m:t>edge</m:t>
          </m:r>
          <m:r>
            <w:rPr>
              <w:rFonts w:ascii="Cambria Math" w:hAnsi="Cambria Math"/>
            </w:rPr>
            <m:t xml:space="preserve"> </m:t>
          </m:r>
          <m:r>
            <w:rPr>
              <w:rFonts w:ascii="Cambria Math" w:hAnsi="Cambria Math"/>
            </w:rPr>
            <m:t>cost</m:t>
          </m:r>
          <m:r>
            <w:rPr>
              <w:rFonts w:ascii="Cambria Math" w:hAnsi="Cambria Math"/>
            </w:rPr>
            <m:t xml:space="preserve"> / (h</m:t>
          </m:r>
          <m:r>
            <w:rPr>
              <w:rFonts w:ascii="Cambria Math" w:hAnsi="Cambria Math"/>
            </w:rPr>
            <m:t>edge</m:t>
          </m:r>
          <m:r>
            <w:rPr>
              <w:rFonts w:ascii="Cambria Math" w:hAnsi="Cambria Math"/>
            </w:rPr>
            <m:t xml:space="preserve"> </m:t>
          </m:r>
          <m:r>
            <w:rPr>
              <w:rFonts w:ascii="Cambria Math" w:hAnsi="Cambria Math"/>
            </w:rPr>
            <m:t>cost</m:t>
          </m:r>
          <m:r>
            <w:rPr>
              <w:rFonts w:ascii="Cambria Math" w:hAnsi="Cambria Math"/>
            </w:rPr>
            <m:t xml:space="preserve"> + </m:t>
          </m:r>
          <m:r>
            <w:rPr>
              <w:rFonts w:ascii="Cambria Math" w:hAnsi="Cambria Math"/>
            </w:rPr>
            <m:t>portfolio</m:t>
          </m:r>
          <m:r>
            <w:rPr>
              <w:rFonts w:ascii="Cambria Math" w:hAnsi="Cambria Math"/>
            </w:rPr>
            <m:t xml:space="preserve"> </m:t>
          </m:r>
          <m:r>
            <w:rPr>
              <w:rFonts w:ascii="Cambria Math" w:hAnsi="Cambria Math"/>
            </w:rPr>
            <m:t>initial</m:t>
          </m:r>
          <m:r>
            <w:rPr>
              <w:rFonts w:ascii="Cambria Math" w:hAnsi="Cambria Math"/>
            </w:rPr>
            <m:t xml:space="preserve"> </m:t>
          </m:r>
          <m:r>
            <w:rPr>
              <w:rFonts w:ascii="Cambria Math" w:hAnsi="Cambria Math"/>
            </w:rPr>
            <m:t>value</m:t>
          </m:r>
          <m:r>
            <w:rPr>
              <w:rFonts w:ascii="Cambria Math" w:hAnsi="Cambria Math"/>
            </w:rPr>
            <m:t>)</m:t>
          </m:r>
        </m:oMath>
      </m:oMathPara>
    </w:p>
    <w:p w14:paraId="114E9A72" w14:textId="77777777" w:rsidR="0079560F" w:rsidRDefault="0079560F">
      <w:pPr>
        <w:ind w:left="720"/>
      </w:pPr>
    </w:p>
    <w:p w14:paraId="0F87BF04" w14:textId="77777777" w:rsidR="0079560F" w:rsidRDefault="0079560F">
      <w:pPr>
        <w:ind w:left="720"/>
      </w:pPr>
    </w:p>
    <w:p w14:paraId="65B7A763" w14:textId="77777777" w:rsidR="0079560F" w:rsidRPr="008B7BDF" w:rsidRDefault="00B40299">
      <w:pPr>
        <w:rPr>
          <w:b/>
          <w:bCs/>
        </w:rPr>
      </w:pPr>
      <w:r w:rsidRPr="008B7BDF">
        <w:rPr>
          <w:b/>
          <w:bCs/>
        </w:rPr>
        <w:t>Appendix E: Model Features</w:t>
      </w:r>
    </w:p>
    <w:p w14:paraId="519D5DE0" w14:textId="77777777" w:rsidR="0079560F" w:rsidRDefault="0079560F"/>
    <w:p w14:paraId="1D273D35" w14:textId="77777777" w:rsidR="0079560F" w:rsidRDefault="00B40299">
      <w:pPr>
        <w:numPr>
          <w:ilvl w:val="0"/>
          <w:numId w:val="1"/>
        </w:numPr>
      </w:pPr>
      <w:r>
        <w:t>Exponential Moving Average 'EMA'</w:t>
      </w:r>
    </w:p>
    <w:p w14:paraId="0563E423" w14:textId="77777777" w:rsidR="0079560F" w:rsidRDefault="00B40299">
      <w:pPr>
        <w:numPr>
          <w:ilvl w:val="1"/>
          <w:numId w:val="1"/>
        </w:numPr>
      </w:pPr>
      <w:r>
        <w:t xml:space="preserve">Describes the average price of the asset over the past window with more weightage to more recent observations </w:t>
      </w:r>
    </w:p>
    <w:p w14:paraId="6433C9EF" w14:textId="77777777" w:rsidR="0079560F" w:rsidRDefault="00B40299">
      <w:pPr>
        <w:numPr>
          <w:ilvl w:val="0"/>
          <w:numId w:val="1"/>
        </w:numPr>
      </w:pPr>
      <w:r>
        <w:t>Moving Average Convergence Divergence 'MACD'</w:t>
      </w:r>
    </w:p>
    <w:p w14:paraId="31D6D102" w14:textId="77777777" w:rsidR="0079560F" w:rsidRDefault="00B40299">
      <w:pPr>
        <w:numPr>
          <w:ilvl w:val="1"/>
          <w:numId w:val="1"/>
        </w:numPr>
      </w:pPr>
      <w:r>
        <w:t xml:space="preserve">Describes the relationship between the long term and </w:t>
      </w:r>
      <w:proofErr w:type="gramStart"/>
      <w:r>
        <w:t>short term</w:t>
      </w:r>
      <w:proofErr w:type="gramEnd"/>
      <w:r>
        <w:t xml:space="preserve"> relationship of the asset price. MAC</w:t>
      </w:r>
      <w:r>
        <w:t>D is calculated as the difference between the longer period and shorter period moving averages</w:t>
      </w:r>
    </w:p>
    <w:p w14:paraId="191D04E2" w14:textId="77777777" w:rsidR="0079560F" w:rsidRDefault="00B40299">
      <w:pPr>
        <w:numPr>
          <w:ilvl w:val="0"/>
          <w:numId w:val="1"/>
        </w:numPr>
      </w:pPr>
      <w:r>
        <w:t>Market Momentum 'MOM'</w:t>
      </w:r>
    </w:p>
    <w:p w14:paraId="09510CB3" w14:textId="77777777" w:rsidR="0079560F" w:rsidRDefault="00B40299">
      <w:pPr>
        <w:numPr>
          <w:ilvl w:val="1"/>
          <w:numId w:val="1"/>
        </w:numPr>
      </w:pPr>
      <w:r>
        <w:t>Describes the ‘ability’ of the market to sustain the current trend of the price movements. MOM is calculated by taking the difference betwe</w:t>
      </w:r>
      <w:r>
        <w:t xml:space="preserve">en the most recent close price and the close price X days ago </w:t>
      </w:r>
    </w:p>
    <w:p w14:paraId="0560E428" w14:textId="77777777" w:rsidR="0079560F" w:rsidRDefault="00B40299">
      <w:pPr>
        <w:numPr>
          <w:ilvl w:val="0"/>
          <w:numId w:val="1"/>
        </w:numPr>
      </w:pPr>
      <w:r>
        <w:t>Rate-of-Change 'ROC'</w:t>
      </w:r>
    </w:p>
    <w:p w14:paraId="711D7DB0" w14:textId="77777777" w:rsidR="0079560F" w:rsidRDefault="00B40299">
      <w:pPr>
        <w:numPr>
          <w:ilvl w:val="1"/>
          <w:numId w:val="1"/>
        </w:numPr>
      </w:pPr>
      <w:r>
        <w:t xml:space="preserve">Describes the percentage change in the asset price over the </w:t>
      </w:r>
      <w:proofErr w:type="gramStart"/>
      <w:r>
        <w:t>period of time</w:t>
      </w:r>
      <w:proofErr w:type="gramEnd"/>
      <w:r>
        <w:t>. It can also be thought of as a momentum indicator. ROC is calculated by comparing the current pr</w:t>
      </w:r>
      <w:r>
        <w:t xml:space="preserve">ice of an asset as a percentage of the price from an earlier period </w:t>
      </w:r>
    </w:p>
    <w:p w14:paraId="136BBAC2" w14:textId="77777777" w:rsidR="0079560F" w:rsidRDefault="00B40299">
      <w:pPr>
        <w:numPr>
          <w:ilvl w:val="0"/>
          <w:numId w:val="1"/>
        </w:numPr>
      </w:pPr>
      <w:r>
        <w:t>Relative Strength Index 'RSI'</w:t>
      </w:r>
    </w:p>
    <w:p w14:paraId="26E854A8" w14:textId="77777777" w:rsidR="0079560F" w:rsidRDefault="00B40299">
      <w:pPr>
        <w:numPr>
          <w:ilvl w:val="1"/>
          <w:numId w:val="1"/>
        </w:numPr>
      </w:pPr>
      <w:r>
        <w:t xml:space="preserve">Describes if an asset is ‘overbought’ or ‘oversold’. It can also be thought of as a momentum indicator. </w:t>
      </w:r>
    </w:p>
    <w:p w14:paraId="3A048301" w14:textId="77777777" w:rsidR="0079560F" w:rsidRDefault="00B40299">
      <w:pPr>
        <w:numPr>
          <w:ilvl w:val="0"/>
          <w:numId w:val="1"/>
        </w:numPr>
      </w:pPr>
      <w:r>
        <w:t>Average True Range 'ATR'</w:t>
      </w:r>
    </w:p>
    <w:p w14:paraId="5A228C43" w14:textId="77777777" w:rsidR="0079560F" w:rsidRDefault="00B40299">
      <w:pPr>
        <w:numPr>
          <w:ilvl w:val="1"/>
          <w:numId w:val="1"/>
        </w:numPr>
      </w:pPr>
      <w:r>
        <w:t xml:space="preserve">Describes the range of the </w:t>
      </w:r>
      <w:r>
        <w:t xml:space="preserve">asset prices over </w:t>
      </w:r>
      <w:proofErr w:type="gramStart"/>
      <w:r>
        <w:t>a period of time</w:t>
      </w:r>
      <w:proofErr w:type="gramEnd"/>
      <w:r>
        <w:t xml:space="preserve">. It can be thought of as an indicator of asset volatility. </w:t>
      </w:r>
    </w:p>
    <w:p w14:paraId="7A6BCA71" w14:textId="77777777" w:rsidR="0079560F" w:rsidRDefault="00B40299">
      <w:pPr>
        <w:numPr>
          <w:ilvl w:val="0"/>
          <w:numId w:val="1"/>
        </w:numPr>
      </w:pPr>
      <w:r>
        <w:t>Vortex Indicator 'VORTEX'</w:t>
      </w:r>
    </w:p>
    <w:p w14:paraId="144244AB" w14:textId="77777777" w:rsidR="0079560F" w:rsidRDefault="00B40299">
      <w:pPr>
        <w:numPr>
          <w:ilvl w:val="1"/>
          <w:numId w:val="1"/>
        </w:numPr>
      </w:pPr>
      <w:r>
        <w:t xml:space="preserve">Typically used to spot trend reversals and confirm current trends. </w:t>
      </w:r>
    </w:p>
    <w:p w14:paraId="4D511216" w14:textId="77777777" w:rsidR="0079560F" w:rsidRDefault="00B40299">
      <w:pPr>
        <w:numPr>
          <w:ilvl w:val="0"/>
          <w:numId w:val="1"/>
        </w:numPr>
      </w:pPr>
      <w:r>
        <w:lastRenderedPageBreak/>
        <w:t>Accumulation Distribution Indicator 'ADL'</w:t>
      </w:r>
    </w:p>
    <w:p w14:paraId="3A2FB826" w14:textId="77777777" w:rsidR="0079560F" w:rsidRDefault="00B40299">
      <w:pPr>
        <w:numPr>
          <w:ilvl w:val="1"/>
          <w:numId w:val="1"/>
        </w:numPr>
      </w:pPr>
      <w:r>
        <w:t>Cumulative indicator that</w:t>
      </w:r>
      <w:r>
        <w:t xml:space="preserve"> provides insights on the strength of a trend. </w:t>
      </w:r>
    </w:p>
    <w:p w14:paraId="53B861B2" w14:textId="77777777" w:rsidR="0079560F" w:rsidRDefault="00B40299">
      <w:pPr>
        <w:numPr>
          <w:ilvl w:val="0"/>
          <w:numId w:val="1"/>
        </w:numPr>
      </w:pPr>
      <w:r>
        <w:t>Stochastic Oscillator %K 'STOCH'</w:t>
      </w:r>
    </w:p>
    <w:p w14:paraId="6388C5F9" w14:textId="77777777" w:rsidR="0079560F" w:rsidRDefault="00B40299">
      <w:pPr>
        <w:numPr>
          <w:ilvl w:val="1"/>
          <w:numId w:val="1"/>
        </w:numPr>
      </w:pPr>
      <w:r>
        <w:t xml:space="preserve">Describes the closing price of an asset relative to the range of prices over </w:t>
      </w:r>
      <w:proofErr w:type="gramStart"/>
      <w:r>
        <w:t>a period of time</w:t>
      </w:r>
      <w:proofErr w:type="gramEnd"/>
      <w:r>
        <w:t>. Used as a momentum indicator</w:t>
      </w:r>
    </w:p>
    <w:p w14:paraId="111FD945" w14:textId="77777777" w:rsidR="0079560F" w:rsidRDefault="00B40299">
      <w:pPr>
        <w:numPr>
          <w:ilvl w:val="0"/>
          <w:numId w:val="1"/>
        </w:numPr>
      </w:pPr>
      <w:r>
        <w:t>Money Flow Index 'MFI'</w:t>
      </w:r>
    </w:p>
    <w:p w14:paraId="0DDEF08E" w14:textId="77777777" w:rsidR="0079560F" w:rsidRDefault="00B40299">
      <w:pPr>
        <w:numPr>
          <w:ilvl w:val="1"/>
          <w:numId w:val="1"/>
        </w:numPr>
      </w:pPr>
      <w:r>
        <w:t xml:space="preserve">Describes the flow in and out of an asset over </w:t>
      </w:r>
      <w:proofErr w:type="gramStart"/>
      <w:r>
        <w:t>a period of time</w:t>
      </w:r>
      <w:proofErr w:type="gramEnd"/>
      <w:r>
        <w:t>. Used as a momentum indicator</w:t>
      </w:r>
    </w:p>
    <w:p w14:paraId="3CBF2BD0" w14:textId="77777777" w:rsidR="0079560F" w:rsidRDefault="00B40299">
      <w:pPr>
        <w:numPr>
          <w:ilvl w:val="0"/>
          <w:numId w:val="1"/>
        </w:numPr>
      </w:pPr>
      <w:r>
        <w:t>On Balance Volume 'OBV'</w:t>
      </w:r>
    </w:p>
    <w:p w14:paraId="0D009532" w14:textId="77777777" w:rsidR="0079560F" w:rsidRDefault="00B40299">
      <w:pPr>
        <w:numPr>
          <w:ilvl w:val="1"/>
          <w:numId w:val="1"/>
        </w:numPr>
      </w:pPr>
      <w:r>
        <w:t>Cumulative sum of volume on days where the stock closed higher, minus the cumulative sum of volume on days where the stock closed lower. U</w:t>
      </w:r>
      <w:r>
        <w:t xml:space="preserve">sed as a momentum indicator. </w:t>
      </w:r>
    </w:p>
    <w:p w14:paraId="6A684F57" w14:textId="77777777" w:rsidR="0079560F" w:rsidRDefault="00B40299">
      <w:pPr>
        <w:numPr>
          <w:ilvl w:val="0"/>
          <w:numId w:val="1"/>
        </w:numPr>
      </w:pPr>
      <w:r>
        <w:t>Commodity Channel Index 'CCI'</w:t>
      </w:r>
    </w:p>
    <w:p w14:paraId="3EB8B4F1" w14:textId="77777777" w:rsidR="0079560F" w:rsidRDefault="00B40299">
      <w:pPr>
        <w:numPr>
          <w:ilvl w:val="1"/>
          <w:numId w:val="1"/>
        </w:numPr>
      </w:pPr>
      <w:r>
        <w:t xml:space="preserve">Describes the relation between current price and the average price over </w:t>
      </w:r>
      <w:proofErr w:type="gramStart"/>
      <w:r>
        <w:t>a time period</w:t>
      </w:r>
      <w:proofErr w:type="gramEnd"/>
      <w:r>
        <w:t xml:space="preserve">. Used to identify trend </w:t>
      </w:r>
    </w:p>
    <w:p w14:paraId="4F025073" w14:textId="77777777" w:rsidR="0079560F" w:rsidRDefault="0079560F">
      <w:pPr>
        <w:ind w:left="720"/>
      </w:pPr>
    </w:p>
    <w:p w14:paraId="26D52FE2" w14:textId="77777777" w:rsidR="0079560F" w:rsidRDefault="0079560F">
      <w:pPr>
        <w:ind w:left="720"/>
      </w:pPr>
    </w:p>
    <w:sectPr w:rsidR="0079560F">
      <w:pgSz w:w="12240" w:h="15840"/>
      <w:pgMar w:top="1440" w:right="1440" w:bottom="144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33227"/>
    <w:multiLevelType w:val="multilevel"/>
    <w:tmpl w:val="9DD43E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60F"/>
    <w:rsid w:val="0079560F"/>
    <w:rsid w:val="008B7BDF"/>
    <w:rsid w:val="00B40299"/>
    <w:rsid w:val="00DE408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48EF"/>
  <w15:docId w15:val="{24885087-7225-49CF-89E9-D51E9DA9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3808</Words>
  <Characters>21711</Characters>
  <Application>Microsoft Office Word</Application>
  <DocSecurity>0</DocSecurity>
  <Lines>180</Lines>
  <Paragraphs>50</Paragraphs>
  <ScaleCrop>false</ScaleCrop>
  <Company/>
  <LinksUpToDate>false</LinksUpToDate>
  <CharactersWithSpaces>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dc:creator>
  <cp:lastModifiedBy>Timothy Lim Shyen En</cp:lastModifiedBy>
  <cp:revision>2</cp:revision>
  <dcterms:created xsi:type="dcterms:W3CDTF">2020-11-12T15:04:00Z</dcterms:created>
  <dcterms:modified xsi:type="dcterms:W3CDTF">2020-11-12T15:04:00Z</dcterms:modified>
</cp:coreProperties>
</file>